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AF4" w:rsidRDefault="00E53A7F" w:rsidP="00E53A7F">
      <w:pPr>
        <w:pStyle w:val="Titre1"/>
      </w:pPr>
      <w:r>
        <w:t>Fiche n°4 : Contrôle social et déviance</w:t>
      </w:r>
      <w:r w:rsidR="00413386">
        <w:t> : comment mesurer le niveau de la délinquance ?</w:t>
      </w:r>
    </w:p>
    <w:p w:rsidR="00E53A7F" w:rsidRDefault="00E53A7F" w:rsidP="00E53A7F">
      <w:pPr>
        <w:pStyle w:val="Sous-titre"/>
      </w:pPr>
      <w:r>
        <w:t xml:space="preserve">Notions : </w:t>
      </w:r>
      <w:r w:rsidR="00A84585">
        <w:t>déviance, délinquance</w:t>
      </w:r>
      <w:r>
        <w:t>,</w:t>
      </w:r>
      <w:r w:rsidR="00A84585">
        <w:t xml:space="preserve"> chiffre noir de la délinquance, enquête de </w:t>
      </w:r>
      <w:proofErr w:type="spellStart"/>
      <w:r w:rsidR="00A84585">
        <w:t>victimation</w:t>
      </w:r>
      <w:proofErr w:type="spellEnd"/>
      <w:r w:rsidR="00A84585">
        <w:t>, opinion, prénotion, objectivation</w:t>
      </w:r>
    </w:p>
    <w:p w:rsidR="00E53A7F" w:rsidRDefault="00E53A7F" w:rsidP="00E53A7F"/>
    <w:p w:rsidR="00E53A7F" w:rsidRDefault="00E53A7F" w:rsidP="00E53A7F">
      <w:r>
        <w:t>A l’occasion du travail sur le thème « contrôle social et déviance », il est possible de traiter des notions apparaissant dans l</w:t>
      </w:r>
      <w:r w:rsidR="00F167B5">
        <w:t>’introduction au cycle terminal</w:t>
      </w:r>
      <w:r>
        <w:t xml:space="preserve"> « la démarche du sociologue »</w:t>
      </w:r>
      <w:r w:rsidR="00A010FA">
        <w:t> : opinion, prénotion, objectivation, mais aussi fait social et action sociale</w:t>
      </w:r>
      <w:r>
        <w:t>.</w:t>
      </w:r>
    </w:p>
    <w:p w:rsidR="008B6A41" w:rsidRDefault="008B6A41" w:rsidP="008B6A41">
      <w:pPr>
        <w:pStyle w:val="Titre2"/>
      </w:pPr>
      <w:r>
        <w:t>Déviance</w:t>
      </w:r>
    </w:p>
    <w:tbl>
      <w:tblPr>
        <w:tblStyle w:val="Grilledutableau"/>
        <w:tblW w:w="0" w:type="auto"/>
        <w:tblLook w:val="04A0"/>
      </w:tblPr>
      <w:tblGrid>
        <w:gridCol w:w="1809"/>
        <w:gridCol w:w="7403"/>
      </w:tblGrid>
      <w:tr w:rsidR="008B6A41" w:rsidTr="003169B2">
        <w:tc>
          <w:tcPr>
            <w:tcW w:w="1809" w:type="dxa"/>
            <w:tcBorders>
              <w:top w:val="single" w:sz="4" w:space="0" w:color="auto"/>
              <w:left w:val="single" w:sz="4" w:space="0" w:color="auto"/>
              <w:bottom w:val="single" w:sz="4" w:space="0" w:color="auto"/>
              <w:right w:val="single" w:sz="4" w:space="0" w:color="auto"/>
            </w:tcBorders>
            <w:hideMark/>
          </w:tcPr>
          <w:p w:rsidR="008B6A41" w:rsidRDefault="008B6A41" w:rsidP="003169B2">
            <w:r>
              <w:t>Caractériser</w:t>
            </w:r>
          </w:p>
        </w:tc>
        <w:tc>
          <w:tcPr>
            <w:tcW w:w="7403" w:type="dxa"/>
            <w:tcBorders>
              <w:top w:val="single" w:sz="4" w:space="0" w:color="auto"/>
              <w:left w:val="single" w:sz="4" w:space="0" w:color="auto"/>
              <w:bottom w:val="single" w:sz="4" w:space="0" w:color="auto"/>
              <w:right w:val="single" w:sz="4" w:space="0" w:color="auto"/>
            </w:tcBorders>
          </w:tcPr>
          <w:p w:rsidR="008B6A41" w:rsidRDefault="00FE7FF7" w:rsidP="003169B2">
            <w:r>
              <w:t>Action qui transgresse une norme sociale ou juridique, comportement anormal (au sens sociologique du terme) qui peut déclencher des sanctions.</w:t>
            </w:r>
          </w:p>
          <w:p w:rsidR="00FE7FF7" w:rsidRDefault="00FE7FF7" w:rsidP="003169B2">
            <w:r>
              <w:t>Non adoption d’un comportement prescrit.</w:t>
            </w:r>
          </w:p>
        </w:tc>
      </w:tr>
      <w:tr w:rsidR="008B6A41" w:rsidTr="003169B2">
        <w:tc>
          <w:tcPr>
            <w:tcW w:w="1809" w:type="dxa"/>
            <w:tcBorders>
              <w:top w:val="single" w:sz="4" w:space="0" w:color="auto"/>
              <w:left w:val="single" w:sz="4" w:space="0" w:color="auto"/>
              <w:bottom w:val="single" w:sz="4" w:space="0" w:color="auto"/>
              <w:right w:val="single" w:sz="4" w:space="0" w:color="auto"/>
            </w:tcBorders>
            <w:hideMark/>
          </w:tcPr>
          <w:p w:rsidR="008B6A41" w:rsidRDefault="008B6A41" w:rsidP="003169B2">
            <w:r>
              <w:t>Précisions / distinctions à faire</w:t>
            </w:r>
          </w:p>
        </w:tc>
        <w:tc>
          <w:tcPr>
            <w:tcW w:w="7403" w:type="dxa"/>
            <w:tcBorders>
              <w:top w:val="single" w:sz="4" w:space="0" w:color="auto"/>
              <w:left w:val="single" w:sz="4" w:space="0" w:color="auto"/>
              <w:bottom w:val="single" w:sz="4" w:space="0" w:color="auto"/>
              <w:right w:val="single" w:sz="4" w:space="0" w:color="auto"/>
            </w:tcBorders>
          </w:tcPr>
          <w:p w:rsidR="008B6A41" w:rsidRDefault="00FE7FF7" w:rsidP="003169B2">
            <w:r>
              <w:t>Ne pas confondre avec la notion de délinquance.</w:t>
            </w:r>
          </w:p>
          <w:p w:rsidR="00FE7FF7" w:rsidRDefault="00FE7FF7" w:rsidP="003169B2">
            <w:r>
              <w:t>Travailler sur le sens de l’adjectif normal en sociologie.</w:t>
            </w:r>
          </w:p>
          <w:p w:rsidR="00FE7FF7" w:rsidRDefault="00FE7FF7" w:rsidP="003169B2">
            <w:r>
              <w:t>Fréquence normale des comportements anormaux.</w:t>
            </w:r>
          </w:p>
          <w:p w:rsidR="00FE7FF7" w:rsidRDefault="00FE7FF7" w:rsidP="003169B2">
            <w:r>
              <w:t>Déviance selon la fin ou selon les moyens.</w:t>
            </w:r>
          </w:p>
          <w:p w:rsidR="00FE7FF7" w:rsidRDefault="00FE7FF7" w:rsidP="003169B2">
            <w:r>
              <w:t>Une action déviante peut être perçue comme telle ou ne pas être perçue comme déviante.</w:t>
            </w:r>
          </w:p>
          <w:p w:rsidR="00FE7FF7" w:rsidRDefault="00FE7FF7" w:rsidP="003169B2">
            <w:r>
              <w:t>Il est possible qu’une action soit perçue comme déviante alors qu’elle ne l’est pas.</w:t>
            </w:r>
          </w:p>
          <w:p w:rsidR="00FE7FF7" w:rsidRDefault="00FE7FF7" w:rsidP="00921523">
            <w:r>
              <w:t>En sociologie, traiter de la déviance n’implique pas un jugement moral sur le comportement étudi</w:t>
            </w:r>
            <w:r w:rsidR="00921523">
              <w:t>é</w:t>
            </w:r>
            <w:r>
              <w:t>, c’est constater qu’il est peu fréquent et que sa perception par les autres peut entraver l’intégration de l’individu dont le comportement est perçu comme déviant.</w:t>
            </w:r>
          </w:p>
        </w:tc>
      </w:tr>
      <w:tr w:rsidR="008B6A41" w:rsidTr="003169B2">
        <w:tc>
          <w:tcPr>
            <w:tcW w:w="1809" w:type="dxa"/>
            <w:tcBorders>
              <w:top w:val="single" w:sz="4" w:space="0" w:color="auto"/>
              <w:left w:val="single" w:sz="4" w:space="0" w:color="auto"/>
              <w:bottom w:val="single" w:sz="4" w:space="0" w:color="auto"/>
              <w:right w:val="single" w:sz="4" w:space="0" w:color="auto"/>
            </w:tcBorders>
            <w:hideMark/>
          </w:tcPr>
          <w:p w:rsidR="008B6A41" w:rsidRDefault="008B6A41" w:rsidP="003169B2">
            <w:r>
              <w:t xml:space="preserve">Illustrer </w:t>
            </w:r>
          </w:p>
        </w:tc>
        <w:tc>
          <w:tcPr>
            <w:tcW w:w="7403" w:type="dxa"/>
            <w:tcBorders>
              <w:top w:val="single" w:sz="4" w:space="0" w:color="auto"/>
              <w:left w:val="single" w:sz="4" w:space="0" w:color="auto"/>
              <w:bottom w:val="single" w:sz="4" w:space="0" w:color="auto"/>
              <w:right w:val="single" w:sz="4" w:space="0" w:color="auto"/>
            </w:tcBorders>
          </w:tcPr>
          <w:p w:rsidR="008B6A41" w:rsidRDefault="00FE7FF7" w:rsidP="003169B2">
            <w:r>
              <w:t>Absentéisme, homosexualité, graffiti, fille aux cheveux très courts, toxicomanie, anorexie, abstention</w:t>
            </w:r>
            <w:r w:rsidR="00921523">
              <w:t>, crachat</w:t>
            </w:r>
            <w:r>
              <w:t>…</w:t>
            </w:r>
          </w:p>
        </w:tc>
      </w:tr>
      <w:tr w:rsidR="008B6A41" w:rsidTr="003169B2">
        <w:tc>
          <w:tcPr>
            <w:tcW w:w="1809" w:type="dxa"/>
            <w:tcBorders>
              <w:top w:val="single" w:sz="4" w:space="0" w:color="auto"/>
              <w:left w:val="single" w:sz="4" w:space="0" w:color="auto"/>
              <w:bottom w:val="single" w:sz="4" w:space="0" w:color="auto"/>
              <w:right w:val="single" w:sz="4" w:space="0" w:color="auto"/>
            </w:tcBorders>
            <w:hideMark/>
          </w:tcPr>
          <w:p w:rsidR="008B6A41" w:rsidRDefault="008B6A41" w:rsidP="003169B2">
            <w:r>
              <w:t>Savoir utiliser</w:t>
            </w:r>
          </w:p>
        </w:tc>
        <w:tc>
          <w:tcPr>
            <w:tcW w:w="7403" w:type="dxa"/>
            <w:tcBorders>
              <w:top w:val="single" w:sz="4" w:space="0" w:color="auto"/>
              <w:left w:val="single" w:sz="4" w:space="0" w:color="auto"/>
              <w:bottom w:val="single" w:sz="4" w:space="0" w:color="auto"/>
              <w:right w:val="single" w:sz="4" w:space="0" w:color="auto"/>
            </w:tcBorders>
          </w:tcPr>
          <w:p w:rsidR="00921523" w:rsidRDefault="00921523" w:rsidP="003169B2">
            <w:r>
              <w:t>Observer des différences culturelles (dans le temps et dans l’espace) et l’évolution des formes de la déviance.</w:t>
            </w:r>
          </w:p>
          <w:p w:rsidR="008B6A41" w:rsidRDefault="00FE7FF7" w:rsidP="003169B2">
            <w:r>
              <w:t>Reconnaître un comportement qui peut être considéré comme déviant au regard des normes</w:t>
            </w:r>
            <w:r w:rsidR="00921523">
              <w:t xml:space="preserve"> d’une société</w:t>
            </w:r>
            <w:r>
              <w:t>.</w:t>
            </w:r>
          </w:p>
          <w:p w:rsidR="00FE7FF7" w:rsidRDefault="00921523" w:rsidP="003169B2">
            <w:r>
              <w:t>Confronter, articuler sans confondre la notion de déviance à celles de norme, de contrôle social, de sanction et de délinquance.</w:t>
            </w:r>
          </w:p>
          <w:p w:rsidR="006B10DE" w:rsidRDefault="006B10DE" w:rsidP="003169B2">
            <w:r>
              <w:t>Lier à la notion de contrôle informel.</w:t>
            </w:r>
          </w:p>
        </w:tc>
      </w:tr>
    </w:tbl>
    <w:p w:rsidR="00E53A7F" w:rsidRDefault="008B6A41" w:rsidP="008B6A41">
      <w:pPr>
        <w:pStyle w:val="Titre2"/>
      </w:pPr>
      <w:r>
        <w:t xml:space="preserve">Délinquance </w:t>
      </w:r>
    </w:p>
    <w:tbl>
      <w:tblPr>
        <w:tblStyle w:val="Grilledutableau"/>
        <w:tblW w:w="0" w:type="auto"/>
        <w:tblLook w:val="04A0"/>
      </w:tblPr>
      <w:tblGrid>
        <w:gridCol w:w="1809"/>
        <w:gridCol w:w="7403"/>
      </w:tblGrid>
      <w:tr w:rsidR="00E53A7F" w:rsidTr="003169B2">
        <w:tc>
          <w:tcPr>
            <w:tcW w:w="1809" w:type="dxa"/>
            <w:tcBorders>
              <w:top w:val="single" w:sz="4" w:space="0" w:color="auto"/>
              <w:left w:val="single" w:sz="4" w:space="0" w:color="auto"/>
              <w:bottom w:val="single" w:sz="4" w:space="0" w:color="auto"/>
              <w:right w:val="single" w:sz="4" w:space="0" w:color="auto"/>
            </w:tcBorders>
            <w:hideMark/>
          </w:tcPr>
          <w:p w:rsidR="00E53A7F" w:rsidRDefault="00E53A7F" w:rsidP="003169B2">
            <w:r>
              <w:t>Caractériser</w:t>
            </w:r>
          </w:p>
        </w:tc>
        <w:tc>
          <w:tcPr>
            <w:tcW w:w="7403" w:type="dxa"/>
            <w:tcBorders>
              <w:top w:val="single" w:sz="4" w:space="0" w:color="auto"/>
              <w:left w:val="single" w:sz="4" w:space="0" w:color="auto"/>
              <w:bottom w:val="single" w:sz="4" w:space="0" w:color="auto"/>
              <w:right w:val="single" w:sz="4" w:space="0" w:color="auto"/>
            </w:tcBorders>
          </w:tcPr>
          <w:p w:rsidR="00E53A7F" w:rsidRDefault="00711EF1" w:rsidP="003169B2">
            <w:r>
              <w:t>Transgression d’une norme juridique qui peut faire l’objet d’une sanction pénale.</w:t>
            </w:r>
          </w:p>
        </w:tc>
      </w:tr>
      <w:tr w:rsidR="00E53A7F" w:rsidTr="003169B2">
        <w:tc>
          <w:tcPr>
            <w:tcW w:w="1809" w:type="dxa"/>
            <w:tcBorders>
              <w:top w:val="single" w:sz="4" w:space="0" w:color="auto"/>
              <w:left w:val="single" w:sz="4" w:space="0" w:color="auto"/>
              <w:bottom w:val="single" w:sz="4" w:space="0" w:color="auto"/>
              <w:right w:val="single" w:sz="4" w:space="0" w:color="auto"/>
            </w:tcBorders>
            <w:hideMark/>
          </w:tcPr>
          <w:p w:rsidR="00E53A7F" w:rsidRDefault="00E53A7F" w:rsidP="003169B2">
            <w:r>
              <w:t>Précisions / distinctions à faire</w:t>
            </w:r>
          </w:p>
        </w:tc>
        <w:tc>
          <w:tcPr>
            <w:tcW w:w="7403" w:type="dxa"/>
            <w:tcBorders>
              <w:top w:val="single" w:sz="4" w:space="0" w:color="auto"/>
              <w:left w:val="single" w:sz="4" w:space="0" w:color="auto"/>
              <w:bottom w:val="single" w:sz="4" w:space="0" w:color="auto"/>
              <w:right w:val="single" w:sz="4" w:space="0" w:color="auto"/>
            </w:tcBorders>
          </w:tcPr>
          <w:p w:rsidR="00E53A7F" w:rsidRDefault="00711EF1" w:rsidP="003169B2">
            <w:r>
              <w:t>Ne pas confondre avec la notion de déviance.</w:t>
            </w:r>
          </w:p>
          <w:p w:rsidR="00711EF1" w:rsidRDefault="00711EF1" w:rsidP="00711EF1">
            <w:r>
              <w:t>Hétérogénéité des actes de délinquance : importance variable du discrédit, fréquence,</w:t>
            </w:r>
            <w:r w:rsidR="006B10DE">
              <w:t xml:space="preserve"> visibilité et tolérance variable.</w:t>
            </w:r>
          </w:p>
          <w:p w:rsidR="006B10DE" w:rsidRDefault="006B10DE" w:rsidP="00711EF1">
            <w:r>
              <w:t>Tous les actes de délinquance ne se traduisent pas par des poursuites judiciaires et des sanctions pénales.</w:t>
            </w:r>
          </w:p>
        </w:tc>
      </w:tr>
      <w:tr w:rsidR="00E53A7F" w:rsidTr="003169B2">
        <w:tc>
          <w:tcPr>
            <w:tcW w:w="1809" w:type="dxa"/>
            <w:tcBorders>
              <w:top w:val="single" w:sz="4" w:space="0" w:color="auto"/>
              <w:left w:val="single" w:sz="4" w:space="0" w:color="auto"/>
              <w:bottom w:val="single" w:sz="4" w:space="0" w:color="auto"/>
              <w:right w:val="single" w:sz="4" w:space="0" w:color="auto"/>
            </w:tcBorders>
            <w:hideMark/>
          </w:tcPr>
          <w:p w:rsidR="00E53A7F" w:rsidRDefault="00E53A7F" w:rsidP="003169B2">
            <w:r>
              <w:t xml:space="preserve">Illustrer </w:t>
            </w:r>
          </w:p>
        </w:tc>
        <w:tc>
          <w:tcPr>
            <w:tcW w:w="7403" w:type="dxa"/>
            <w:tcBorders>
              <w:top w:val="single" w:sz="4" w:space="0" w:color="auto"/>
              <w:left w:val="single" w:sz="4" w:space="0" w:color="auto"/>
              <w:bottom w:val="single" w:sz="4" w:space="0" w:color="auto"/>
              <w:right w:val="single" w:sz="4" w:space="0" w:color="auto"/>
            </w:tcBorders>
          </w:tcPr>
          <w:p w:rsidR="00E53A7F" w:rsidRDefault="006B10DE" w:rsidP="003169B2">
            <w:r>
              <w:t xml:space="preserve">Délinquance en col blanc, évolution du rapport à la consommation de cannabis, criminalité, vol avec ou sans violence, évasion fiscale, </w:t>
            </w:r>
            <w:proofErr w:type="spellStart"/>
            <w:r>
              <w:t>cyberdélinquance</w:t>
            </w:r>
            <w:proofErr w:type="spellEnd"/>
            <w:r>
              <w:t xml:space="preserve">, harcèlements, violences physiques, outrages… </w:t>
            </w:r>
          </w:p>
        </w:tc>
      </w:tr>
      <w:tr w:rsidR="00E53A7F" w:rsidTr="003169B2">
        <w:tc>
          <w:tcPr>
            <w:tcW w:w="1809" w:type="dxa"/>
            <w:tcBorders>
              <w:top w:val="single" w:sz="4" w:space="0" w:color="auto"/>
              <w:left w:val="single" w:sz="4" w:space="0" w:color="auto"/>
              <w:bottom w:val="single" w:sz="4" w:space="0" w:color="auto"/>
              <w:right w:val="single" w:sz="4" w:space="0" w:color="auto"/>
            </w:tcBorders>
            <w:hideMark/>
          </w:tcPr>
          <w:p w:rsidR="00E53A7F" w:rsidRDefault="00E53A7F" w:rsidP="003169B2">
            <w:r>
              <w:t>Savoir utiliser</w:t>
            </w:r>
          </w:p>
        </w:tc>
        <w:tc>
          <w:tcPr>
            <w:tcW w:w="7403" w:type="dxa"/>
            <w:tcBorders>
              <w:top w:val="single" w:sz="4" w:space="0" w:color="auto"/>
              <w:left w:val="single" w:sz="4" w:space="0" w:color="auto"/>
              <w:bottom w:val="single" w:sz="4" w:space="0" w:color="auto"/>
              <w:right w:val="single" w:sz="4" w:space="0" w:color="auto"/>
            </w:tcBorders>
          </w:tcPr>
          <w:p w:rsidR="00E53A7F" w:rsidRDefault="006B10DE" w:rsidP="003169B2">
            <w:r>
              <w:t>Lier à la notion de contrôle formel.</w:t>
            </w:r>
          </w:p>
          <w:p w:rsidR="006B10DE" w:rsidRDefault="006B10DE" w:rsidP="003169B2">
            <w:r>
              <w:t>Expliquer les difficultés que présente la mesure de la délinquance.</w:t>
            </w:r>
          </w:p>
        </w:tc>
      </w:tr>
    </w:tbl>
    <w:p w:rsidR="00E53A7F" w:rsidRDefault="008B6A41" w:rsidP="008B6A41">
      <w:pPr>
        <w:pStyle w:val="Titre2"/>
      </w:pPr>
      <w:r>
        <w:t>Chiffre noir de la délinquance</w:t>
      </w:r>
    </w:p>
    <w:tbl>
      <w:tblPr>
        <w:tblStyle w:val="Grilledutableau"/>
        <w:tblW w:w="0" w:type="auto"/>
        <w:tblLook w:val="04A0"/>
      </w:tblPr>
      <w:tblGrid>
        <w:gridCol w:w="1809"/>
        <w:gridCol w:w="7403"/>
      </w:tblGrid>
      <w:tr w:rsidR="00E53A7F" w:rsidTr="003169B2">
        <w:tc>
          <w:tcPr>
            <w:tcW w:w="1809" w:type="dxa"/>
            <w:tcBorders>
              <w:top w:val="single" w:sz="4" w:space="0" w:color="auto"/>
              <w:left w:val="single" w:sz="4" w:space="0" w:color="auto"/>
              <w:bottom w:val="single" w:sz="4" w:space="0" w:color="auto"/>
              <w:right w:val="single" w:sz="4" w:space="0" w:color="auto"/>
            </w:tcBorders>
            <w:hideMark/>
          </w:tcPr>
          <w:p w:rsidR="00E53A7F" w:rsidRDefault="00E53A7F" w:rsidP="003169B2">
            <w:r>
              <w:t>Caractériser</w:t>
            </w:r>
          </w:p>
        </w:tc>
        <w:tc>
          <w:tcPr>
            <w:tcW w:w="7403" w:type="dxa"/>
            <w:tcBorders>
              <w:top w:val="single" w:sz="4" w:space="0" w:color="auto"/>
              <w:left w:val="single" w:sz="4" w:space="0" w:color="auto"/>
              <w:bottom w:val="single" w:sz="4" w:space="0" w:color="auto"/>
              <w:right w:val="single" w:sz="4" w:space="0" w:color="auto"/>
            </w:tcBorders>
          </w:tcPr>
          <w:p w:rsidR="00E53A7F" w:rsidRDefault="00B44B0D" w:rsidP="003169B2">
            <w:r>
              <w:t>Part de la délinquance que les statistiques de la police et de la justice ne permettent pas de mesurer.</w:t>
            </w:r>
          </w:p>
        </w:tc>
      </w:tr>
      <w:tr w:rsidR="00E53A7F" w:rsidTr="003169B2">
        <w:tc>
          <w:tcPr>
            <w:tcW w:w="1809" w:type="dxa"/>
            <w:tcBorders>
              <w:top w:val="single" w:sz="4" w:space="0" w:color="auto"/>
              <w:left w:val="single" w:sz="4" w:space="0" w:color="auto"/>
              <w:bottom w:val="single" w:sz="4" w:space="0" w:color="auto"/>
              <w:right w:val="single" w:sz="4" w:space="0" w:color="auto"/>
            </w:tcBorders>
            <w:hideMark/>
          </w:tcPr>
          <w:p w:rsidR="00E53A7F" w:rsidRDefault="00E53A7F" w:rsidP="003169B2">
            <w:r>
              <w:t xml:space="preserve">Précisions / </w:t>
            </w:r>
            <w:r>
              <w:lastRenderedPageBreak/>
              <w:t>distinctions à faire</w:t>
            </w:r>
          </w:p>
        </w:tc>
        <w:tc>
          <w:tcPr>
            <w:tcW w:w="7403" w:type="dxa"/>
            <w:tcBorders>
              <w:top w:val="single" w:sz="4" w:space="0" w:color="auto"/>
              <w:left w:val="single" w:sz="4" w:space="0" w:color="auto"/>
              <w:bottom w:val="single" w:sz="4" w:space="0" w:color="auto"/>
              <w:right w:val="single" w:sz="4" w:space="0" w:color="auto"/>
            </w:tcBorders>
          </w:tcPr>
          <w:p w:rsidR="00E53A7F" w:rsidRDefault="00B44B0D" w:rsidP="003169B2">
            <w:r>
              <w:lastRenderedPageBreak/>
              <w:t xml:space="preserve">Le chiffre noir de la délinquance est plus ou moins important selon le type </w:t>
            </w:r>
            <w:r>
              <w:lastRenderedPageBreak/>
              <w:t>de crime ou de délit.</w:t>
            </w:r>
          </w:p>
          <w:p w:rsidR="00B44B0D" w:rsidRDefault="00B44B0D" w:rsidP="003169B2">
            <w:r>
              <w:t>Savoir préciser différentes sources de distorsion (autocensure, recours variable au dépôt de plainte ou de main courante, etc.)</w:t>
            </w:r>
          </w:p>
        </w:tc>
      </w:tr>
      <w:tr w:rsidR="00E53A7F" w:rsidTr="003169B2">
        <w:tc>
          <w:tcPr>
            <w:tcW w:w="1809" w:type="dxa"/>
            <w:tcBorders>
              <w:top w:val="single" w:sz="4" w:space="0" w:color="auto"/>
              <w:left w:val="single" w:sz="4" w:space="0" w:color="auto"/>
              <w:bottom w:val="single" w:sz="4" w:space="0" w:color="auto"/>
              <w:right w:val="single" w:sz="4" w:space="0" w:color="auto"/>
            </w:tcBorders>
            <w:hideMark/>
          </w:tcPr>
          <w:p w:rsidR="00E53A7F" w:rsidRDefault="00E53A7F" w:rsidP="003169B2">
            <w:r>
              <w:lastRenderedPageBreak/>
              <w:t xml:space="preserve">Illustrer </w:t>
            </w:r>
          </w:p>
        </w:tc>
        <w:tc>
          <w:tcPr>
            <w:tcW w:w="7403" w:type="dxa"/>
            <w:tcBorders>
              <w:top w:val="single" w:sz="4" w:space="0" w:color="auto"/>
              <w:left w:val="single" w:sz="4" w:space="0" w:color="auto"/>
              <w:bottom w:val="single" w:sz="4" w:space="0" w:color="auto"/>
              <w:right w:val="single" w:sz="4" w:space="0" w:color="auto"/>
            </w:tcBorders>
          </w:tcPr>
          <w:p w:rsidR="00E53A7F" w:rsidRDefault="00B44B0D" w:rsidP="003169B2">
            <w:r>
              <w:t xml:space="preserve">Exploiter les données statistiques en croisant source administrative et enquête de </w:t>
            </w:r>
            <w:proofErr w:type="spellStart"/>
            <w:r>
              <w:t>victimation</w:t>
            </w:r>
            <w:proofErr w:type="spellEnd"/>
            <w:r>
              <w:t>.</w:t>
            </w:r>
          </w:p>
        </w:tc>
      </w:tr>
      <w:tr w:rsidR="00E53A7F" w:rsidTr="003169B2">
        <w:tc>
          <w:tcPr>
            <w:tcW w:w="1809" w:type="dxa"/>
            <w:tcBorders>
              <w:top w:val="single" w:sz="4" w:space="0" w:color="auto"/>
              <w:left w:val="single" w:sz="4" w:space="0" w:color="auto"/>
              <w:bottom w:val="single" w:sz="4" w:space="0" w:color="auto"/>
              <w:right w:val="single" w:sz="4" w:space="0" w:color="auto"/>
            </w:tcBorders>
            <w:hideMark/>
          </w:tcPr>
          <w:p w:rsidR="00E53A7F" w:rsidRDefault="00E53A7F" w:rsidP="003169B2">
            <w:r>
              <w:t>Savoir utiliser</w:t>
            </w:r>
          </w:p>
        </w:tc>
        <w:tc>
          <w:tcPr>
            <w:tcW w:w="7403" w:type="dxa"/>
            <w:tcBorders>
              <w:top w:val="single" w:sz="4" w:space="0" w:color="auto"/>
              <w:left w:val="single" w:sz="4" w:space="0" w:color="auto"/>
              <w:bottom w:val="single" w:sz="4" w:space="0" w:color="auto"/>
              <w:right w:val="single" w:sz="4" w:space="0" w:color="auto"/>
            </w:tcBorders>
          </w:tcPr>
          <w:p w:rsidR="00E53A7F" w:rsidRDefault="00B44B0D" w:rsidP="003169B2">
            <w:r>
              <w:t>Nuancer les discours sur la délinquance et repérer l’utilisation polémique de données statistique.</w:t>
            </w:r>
          </w:p>
          <w:p w:rsidR="00B44B0D" w:rsidRDefault="00B44B0D" w:rsidP="003169B2">
            <w:r>
              <w:t>Prendre de la distance par rapport aux données statistiques en se rappelant de leur mode de construction.</w:t>
            </w:r>
          </w:p>
        </w:tc>
      </w:tr>
    </w:tbl>
    <w:p w:rsidR="00E53A7F" w:rsidRDefault="008B6A41" w:rsidP="008B6A41">
      <w:pPr>
        <w:pStyle w:val="Titre2"/>
      </w:pPr>
      <w:r>
        <w:t xml:space="preserve">Enquête de </w:t>
      </w:r>
      <w:proofErr w:type="spellStart"/>
      <w:r>
        <w:t>victimation</w:t>
      </w:r>
      <w:proofErr w:type="spellEnd"/>
    </w:p>
    <w:tbl>
      <w:tblPr>
        <w:tblStyle w:val="Grilledutableau"/>
        <w:tblW w:w="0" w:type="auto"/>
        <w:tblLook w:val="04A0"/>
      </w:tblPr>
      <w:tblGrid>
        <w:gridCol w:w="1809"/>
        <w:gridCol w:w="7403"/>
      </w:tblGrid>
      <w:tr w:rsidR="00E53A7F" w:rsidTr="003169B2">
        <w:tc>
          <w:tcPr>
            <w:tcW w:w="1809" w:type="dxa"/>
            <w:tcBorders>
              <w:top w:val="single" w:sz="4" w:space="0" w:color="auto"/>
              <w:left w:val="single" w:sz="4" w:space="0" w:color="auto"/>
              <w:bottom w:val="single" w:sz="4" w:space="0" w:color="auto"/>
              <w:right w:val="single" w:sz="4" w:space="0" w:color="auto"/>
            </w:tcBorders>
            <w:hideMark/>
          </w:tcPr>
          <w:p w:rsidR="00E53A7F" w:rsidRDefault="00E53A7F" w:rsidP="003169B2">
            <w:r>
              <w:t>Caractériser</w:t>
            </w:r>
          </w:p>
        </w:tc>
        <w:tc>
          <w:tcPr>
            <w:tcW w:w="7403" w:type="dxa"/>
            <w:tcBorders>
              <w:top w:val="single" w:sz="4" w:space="0" w:color="auto"/>
              <w:left w:val="single" w:sz="4" w:space="0" w:color="auto"/>
              <w:bottom w:val="single" w:sz="4" w:space="0" w:color="auto"/>
              <w:right w:val="single" w:sz="4" w:space="0" w:color="auto"/>
            </w:tcBorders>
          </w:tcPr>
          <w:p w:rsidR="00E53A7F" w:rsidRDefault="00B44B0D" w:rsidP="003169B2">
            <w:r>
              <w:t>Enquête qui interroge anonymement des échantillons représentatifs de personnes sur ce qu’elles ont pu éventuellement subir sur une période de temps déterminée, qu’elles l’aient ou non signalé aux services de police et de gendarmerie.</w:t>
            </w:r>
          </w:p>
        </w:tc>
      </w:tr>
      <w:tr w:rsidR="00E53A7F" w:rsidTr="003169B2">
        <w:tc>
          <w:tcPr>
            <w:tcW w:w="1809" w:type="dxa"/>
            <w:tcBorders>
              <w:top w:val="single" w:sz="4" w:space="0" w:color="auto"/>
              <w:left w:val="single" w:sz="4" w:space="0" w:color="auto"/>
              <w:bottom w:val="single" w:sz="4" w:space="0" w:color="auto"/>
              <w:right w:val="single" w:sz="4" w:space="0" w:color="auto"/>
            </w:tcBorders>
            <w:hideMark/>
          </w:tcPr>
          <w:p w:rsidR="00E53A7F" w:rsidRDefault="00E53A7F" w:rsidP="003169B2">
            <w:r>
              <w:t>Précisions / distinctions à faire</w:t>
            </w:r>
          </w:p>
        </w:tc>
        <w:tc>
          <w:tcPr>
            <w:tcW w:w="7403" w:type="dxa"/>
            <w:tcBorders>
              <w:top w:val="single" w:sz="4" w:space="0" w:color="auto"/>
              <w:left w:val="single" w:sz="4" w:space="0" w:color="auto"/>
              <w:bottom w:val="single" w:sz="4" w:space="0" w:color="auto"/>
              <w:right w:val="single" w:sz="4" w:space="0" w:color="auto"/>
            </w:tcBorders>
          </w:tcPr>
          <w:p w:rsidR="00E53A7F" w:rsidRDefault="00B44B0D" w:rsidP="003169B2">
            <w:r>
              <w:t>Il y a d’autres enquêtes de population : sentiment d’insécurité, délinquance auto-révélée ou auto-déclarée.</w:t>
            </w:r>
          </w:p>
          <w:p w:rsidR="00B44B0D" w:rsidRDefault="00B44B0D" w:rsidP="003169B2">
            <w:r>
              <w:t>Distinguer des statistiques de la délinquance policières et judiciaires.</w:t>
            </w:r>
          </w:p>
        </w:tc>
      </w:tr>
      <w:tr w:rsidR="00B44B0D" w:rsidTr="003169B2">
        <w:tc>
          <w:tcPr>
            <w:tcW w:w="1809" w:type="dxa"/>
            <w:tcBorders>
              <w:top w:val="single" w:sz="4" w:space="0" w:color="auto"/>
              <w:left w:val="single" w:sz="4" w:space="0" w:color="auto"/>
              <w:bottom w:val="single" w:sz="4" w:space="0" w:color="auto"/>
              <w:right w:val="single" w:sz="4" w:space="0" w:color="auto"/>
            </w:tcBorders>
            <w:hideMark/>
          </w:tcPr>
          <w:p w:rsidR="00B44B0D" w:rsidRDefault="00B44B0D" w:rsidP="003169B2">
            <w:r>
              <w:t xml:space="preserve">Illustrer </w:t>
            </w:r>
          </w:p>
        </w:tc>
        <w:tc>
          <w:tcPr>
            <w:tcW w:w="7403" w:type="dxa"/>
            <w:tcBorders>
              <w:top w:val="single" w:sz="4" w:space="0" w:color="auto"/>
              <w:left w:val="single" w:sz="4" w:space="0" w:color="auto"/>
              <w:bottom w:val="single" w:sz="4" w:space="0" w:color="auto"/>
              <w:right w:val="single" w:sz="4" w:space="0" w:color="auto"/>
            </w:tcBorders>
          </w:tcPr>
          <w:p w:rsidR="00B44B0D" w:rsidRDefault="00B44B0D" w:rsidP="0099181E">
            <w:r>
              <w:t xml:space="preserve">Exploiter les données statistiques en croisant source administrative et enquête de </w:t>
            </w:r>
            <w:proofErr w:type="spellStart"/>
            <w:r>
              <w:t>victimation</w:t>
            </w:r>
            <w:proofErr w:type="spellEnd"/>
            <w:r>
              <w:t>.</w:t>
            </w:r>
          </w:p>
        </w:tc>
      </w:tr>
      <w:tr w:rsidR="00B44B0D" w:rsidTr="003169B2">
        <w:tc>
          <w:tcPr>
            <w:tcW w:w="1809" w:type="dxa"/>
            <w:tcBorders>
              <w:top w:val="single" w:sz="4" w:space="0" w:color="auto"/>
              <w:left w:val="single" w:sz="4" w:space="0" w:color="auto"/>
              <w:bottom w:val="single" w:sz="4" w:space="0" w:color="auto"/>
              <w:right w:val="single" w:sz="4" w:space="0" w:color="auto"/>
            </w:tcBorders>
            <w:hideMark/>
          </w:tcPr>
          <w:p w:rsidR="00B44B0D" w:rsidRDefault="00B44B0D" w:rsidP="003169B2">
            <w:r>
              <w:t>Savoir utiliser</w:t>
            </w:r>
          </w:p>
        </w:tc>
        <w:tc>
          <w:tcPr>
            <w:tcW w:w="7403" w:type="dxa"/>
            <w:tcBorders>
              <w:top w:val="single" w:sz="4" w:space="0" w:color="auto"/>
              <w:left w:val="single" w:sz="4" w:space="0" w:color="auto"/>
              <w:bottom w:val="single" w:sz="4" w:space="0" w:color="auto"/>
              <w:right w:val="single" w:sz="4" w:space="0" w:color="auto"/>
            </w:tcBorders>
          </w:tcPr>
          <w:p w:rsidR="00B44B0D" w:rsidRDefault="00B44B0D" w:rsidP="003169B2">
            <w:r>
              <w:t>Prendre de la distance par rapport aux données statistiques en se rappelant de leur mode de construction.</w:t>
            </w:r>
          </w:p>
        </w:tc>
      </w:tr>
    </w:tbl>
    <w:p w:rsidR="00E53A7F" w:rsidRDefault="00E53A7F" w:rsidP="00E53A7F"/>
    <w:p w:rsidR="00A21185" w:rsidRDefault="00A21185" w:rsidP="00A21185">
      <w:pPr>
        <w:pStyle w:val="Titre2"/>
      </w:pPr>
      <w:r>
        <w:t>Activités pour la classe</w:t>
      </w:r>
    </w:p>
    <w:p w:rsidR="00A21185" w:rsidRDefault="00A21185" w:rsidP="00A21185">
      <w:pPr>
        <w:pStyle w:val="Titre3"/>
      </w:pPr>
      <w:r>
        <w:t>Le viol, aspects sociologiques d’un crime</w:t>
      </w:r>
    </w:p>
    <w:p w:rsidR="00FE2074" w:rsidRDefault="00A21185" w:rsidP="00FE2074">
      <w:r>
        <w:t>Cette thématique est délicate à manier dans la mesure où elle peut déclencher des réactions difficiles à gérer en classe si cela résonne intimement chez un élève. Il faut donc prévoir de pouvoir confier un tel élève à des personnes de confiance si nécessaire.</w:t>
      </w:r>
    </w:p>
    <w:p w:rsidR="00FE2074" w:rsidRDefault="00FE2074" w:rsidP="00FE2074">
      <w:r>
        <w:t>Cependant elle permet de travailler aussi sur les notions de prénotion et d’objectivation visées dans l’introduction au cycle terminal.</w:t>
      </w:r>
    </w:p>
    <w:p w:rsidR="00A21185" w:rsidRPr="00A21185" w:rsidRDefault="00A21185" w:rsidP="00FE2074">
      <w:r w:rsidRPr="00A21185">
        <w:t>Avant</w:t>
      </w:r>
      <w:r>
        <w:t xml:space="preserve"> la lecture du texte, distribuer les questions suivantes aux élèves, leur demander d’y répondre individuellement :</w:t>
      </w:r>
    </w:p>
    <w:p w:rsidR="00A21185" w:rsidRPr="00A21185" w:rsidRDefault="00A21185" w:rsidP="00A21185">
      <w:pPr>
        <w:spacing w:after="0" w:line="240" w:lineRule="auto"/>
      </w:pPr>
    </w:p>
    <w:p w:rsidR="00A21185" w:rsidRPr="00A21185" w:rsidRDefault="00A21185" w:rsidP="00A21185">
      <w:pPr>
        <w:pStyle w:val="Paragraphedeliste"/>
        <w:numPr>
          <w:ilvl w:val="0"/>
          <w:numId w:val="1"/>
        </w:numPr>
        <w:spacing w:after="0" w:line="240" w:lineRule="auto"/>
      </w:pPr>
      <w:r w:rsidRPr="00A21185">
        <w:t xml:space="preserve">Qu’est-ce qu’un viol ? </w:t>
      </w:r>
    </w:p>
    <w:p w:rsidR="00A21185" w:rsidRPr="00A21185" w:rsidRDefault="00A21185" w:rsidP="00A21185">
      <w:pPr>
        <w:pStyle w:val="Paragraphedeliste"/>
        <w:numPr>
          <w:ilvl w:val="0"/>
          <w:numId w:val="1"/>
        </w:numPr>
        <w:spacing w:after="0" w:line="240" w:lineRule="auto"/>
      </w:pPr>
      <w:r w:rsidRPr="00A21185">
        <w:t xml:space="preserve">Quelles sont les circonstances habituelles d’un viol ? </w:t>
      </w:r>
    </w:p>
    <w:p w:rsidR="00A21185" w:rsidRPr="00A21185" w:rsidRDefault="00A21185" w:rsidP="00A21185">
      <w:pPr>
        <w:pStyle w:val="Paragraphedeliste"/>
        <w:numPr>
          <w:ilvl w:val="0"/>
          <w:numId w:val="1"/>
        </w:numPr>
        <w:spacing w:after="0" w:line="240" w:lineRule="auto"/>
      </w:pPr>
      <w:r w:rsidRPr="00A21185">
        <w:t xml:space="preserve">Les viols sont-ils plus fréquents dans les milieux aisés ou les milieux populaires ? </w:t>
      </w:r>
    </w:p>
    <w:p w:rsidR="00A21185" w:rsidRPr="00A21185" w:rsidRDefault="00A21185" w:rsidP="00A21185"/>
    <w:p w:rsidR="00A21185" w:rsidRDefault="00A21185" w:rsidP="00A21185">
      <w:pPr>
        <w:spacing w:after="0" w:line="240" w:lineRule="auto"/>
      </w:pPr>
      <w:r w:rsidRPr="00A21185">
        <w:t>Distribuer le texte et après sa lecture, demander aux élèves de répondre aux questions suivantes (individuellement ou en petit groupe) :</w:t>
      </w:r>
    </w:p>
    <w:p w:rsidR="00A21185" w:rsidRPr="00A21185" w:rsidRDefault="00A21185" w:rsidP="00A21185">
      <w:pPr>
        <w:spacing w:after="0" w:line="240" w:lineRule="auto"/>
      </w:pPr>
    </w:p>
    <w:p w:rsidR="00A21185" w:rsidRPr="00A21185" w:rsidRDefault="00A21185" w:rsidP="00A21185">
      <w:pPr>
        <w:pStyle w:val="Paragraphedeliste"/>
        <w:numPr>
          <w:ilvl w:val="0"/>
          <w:numId w:val="2"/>
        </w:numPr>
        <w:spacing w:after="0" w:line="240" w:lineRule="auto"/>
      </w:pPr>
      <w:r w:rsidRPr="00A21185">
        <w:t xml:space="preserve">Quelles données peuvent nous renseigner sur les viols en France ? </w:t>
      </w:r>
    </w:p>
    <w:p w:rsidR="00A21185" w:rsidRPr="00A21185" w:rsidRDefault="00A21185" w:rsidP="00A21185">
      <w:pPr>
        <w:pStyle w:val="Paragraphedeliste"/>
        <w:numPr>
          <w:ilvl w:val="0"/>
          <w:numId w:val="2"/>
        </w:numPr>
        <w:spacing w:after="0" w:line="240" w:lineRule="auto"/>
      </w:pPr>
      <w:r w:rsidRPr="00A21185">
        <w:t xml:space="preserve">Quelles sont les caractéristiques des viols les plus fréquents ? </w:t>
      </w:r>
    </w:p>
    <w:p w:rsidR="00A21185" w:rsidRPr="00A21185" w:rsidRDefault="00A21185" w:rsidP="00A21185">
      <w:pPr>
        <w:pStyle w:val="Paragraphedeliste"/>
        <w:numPr>
          <w:ilvl w:val="0"/>
          <w:numId w:val="2"/>
        </w:numPr>
        <w:spacing w:after="0" w:line="240" w:lineRule="auto"/>
      </w:pPr>
      <w:r w:rsidRPr="00A21185">
        <w:t xml:space="preserve">Les viols sont-ils plus fréquents dans les milieux aisés ou les milieux populaires ? </w:t>
      </w:r>
    </w:p>
    <w:p w:rsidR="00A21185" w:rsidRDefault="00A21185" w:rsidP="00A21185">
      <w:pPr>
        <w:pStyle w:val="Paragraphedeliste"/>
        <w:numPr>
          <w:ilvl w:val="0"/>
          <w:numId w:val="2"/>
        </w:numPr>
        <w:spacing w:after="0" w:line="240" w:lineRule="auto"/>
      </w:pPr>
      <w:r w:rsidRPr="00A21185">
        <w:t xml:space="preserve">Comment expliquez-vous le décalage entre l’image qu’on se fait des viols et la réalité ? </w:t>
      </w:r>
    </w:p>
    <w:p w:rsidR="00A21185" w:rsidRDefault="00A21185" w:rsidP="00A21185">
      <w:pPr>
        <w:spacing w:after="0" w:line="240" w:lineRule="auto"/>
      </w:pPr>
    </w:p>
    <w:p w:rsidR="00A21185" w:rsidRDefault="00A21185" w:rsidP="00A21185">
      <w:pPr>
        <w:spacing w:after="0" w:line="240" w:lineRule="auto"/>
      </w:pPr>
      <w:r>
        <w:t>Texte :</w:t>
      </w:r>
    </w:p>
    <w:p w:rsidR="00A21185" w:rsidRPr="00BB4B2A" w:rsidRDefault="00A21185" w:rsidP="00A21185">
      <w:pPr>
        <w:jc w:val="both"/>
      </w:pPr>
      <w:r>
        <w:rPr>
          <w:noProof/>
          <w:lang w:eastAsia="fr-FR"/>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562100" cy="2333625"/>
            <wp:effectExtent l="19050" t="0" r="0" b="0"/>
            <wp:wrapSquare wrapText="bothSides"/>
            <wp:docPr id="2" name="Image 2" descr="Livre le viol la documentation franç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re le viol la documentation française"/>
                    <pic:cNvPicPr>
                      <a:picLocks noChangeAspect="1" noChangeArrowheads="1"/>
                    </pic:cNvPicPr>
                  </pic:nvPicPr>
                  <pic:blipFill>
                    <a:blip r:embed="rId6" cstate="print"/>
                    <a:srcRect/>
                    <a:stretch>
                      <a:fillRect/>
                    </a:stretch>
                  </pic:blipFill>
                  <pic:spPr bwMode="auto">
                    <a:xfrm>
                      <a:off x="0" y="0"/>
                      <a:ext cx="1562100" cy="2333625"/>
                    </a:xfrm>
                    <a:prstGeom prst="rect">
                      <a:avLst/>
                    </a:prstGeom>
                    <a:noFill/>
                    <a:ln w="9525">
                      <a:noFill/>
                      <a:miter lim="800000"/>
                      <a:headEnd/>
                      <a:tailEnd/>
                    </a:ln>
                  </pic:spPr>
                </pic:pic>
              </a:graphicData>
            </a:graphic>
          </wp:anchor>
        </w:drawing>
      </w:r>
      <w:r w:rsidRPr="00BB4B2A">
        <w:t>Le viol est connu sur la scène médiatique par le biais d'</w:t>
      </w:r>
      <w:r w:rsidRPr="00BB4B2A">
        <w:rPr>
          <w:i/>
          <w:iCs/>
        </w:rPr>
        <w:t>affaires</w:t>
      </w:r>
      <w:r w:rsidRPr="00BB4B2A">
        <w:t xml:space="preserve"> généralement sordides perpétrées par des violeurs ou des pédophiles en série, voire des violeurs-tueurs en série. Les noms de Marc Dutroux, Patrice </w:t>
      </w:r>
      <w:proofErr w:type="spellStart"/>
      <w:r w:rsidRPr="00BB4B2A">
        <w:t>Alègre</w:t>
      </w:r>
      <w:proofErr w:type="spellEnd"/>
      <w:r w:rsidRPr="00BB4B2A">
        <w:t xml:space="preserve">, </w:t>
      </w:r>
      <w:proofErr w:type="spellStart"/>
      <w:r w:rsidRPr="00BB4B2A">
        <w:t>Emile</w:t>
      </w:r>
      <w:proofErr w:type="spellEnd"/>
      <w:r w:rsidRPr="00BB4B2A">
        <w:t xml:space="preserve"> Louis, Michel </w:t>
      </w:r>
      <w:proofErr w:type="spellStart"/>
      <w:r w:rsidRPr="00BB4B2A">
        <w:t>Fourniret</w:t>
      </w:r>
      <w:proofErr w:type="spellEnd"/>
      <w:r w:rsidRPr="00BB4B2A">
        <w:t xml:space="preserve">, Guy Georges, etc., ont fait la Une des journaux et des écrans de télévision ces dernières années. Nouveau créneau éditorial, des « livres </w:t>
      </w:r>
      <w:r w:rsidRPr="00BB4B2A">
        <w:lastRenderedPageBreak/>
        <w:t>témoignages » de femmes ou d'enfants violés, à la lecture parfois insoutenable, fleurissent également désormais, contribuant à faire du viol le « crime absolu », c'est-à-dire objet de la réprobation sociale maximale.</w:t>
      </w:r>
    </w:p>
    <w:p w:rsidR="00A21185" w:rsidRPr="00BB4B2A" w:rsidRDefault="00A21185" w:rsidP="00A21185">
      <w:pPr>
        <w:jc w:val="both"/>
      </w:pPr>
      <w:r w:rsidRPr="00BB4B2A">
        <w:t xml:space="preserve">Mais si l'on quitte la sphère de l'émotion pour gagner celle de l'analyse, que sait-on du viol en réalité ? Pas énormément de choses. Malgré quelques travaux pionniers, il a fallu attendre les années 1990 pour voir des travaux d'histoire, de psychologie et de psychiatrie défricher régulièrement le sujet. Puis sont survenues les grandes enquêtes statistiques de </w:t>
      </w:r>
      <w:proofErr w:type="spellStart"/>
      <w:r w:rsidRPr="00BB4B2A">
        <w:t>victimation</w:t>
      </w:r>
      <w:proofErr w:type="spellEnd"/>
      <w:r w:rsidRPr="00BB4B2A">
        <w:t xml:space="preserve"> (</w:t>
      </w:r>
      <w:r w:rsidRPr="00BB4B2A">
        <w:rPr>
          <w:i/>
          <w:iCs/>
        </w:rPr>
        <w:t>enquêtes qui interrogent anonymement des échantillons représentatifs de personnes à qui l'on demande de déclarer ce qu'elles ont pu subir même si elles n'ont jamais porté plainte</w:t>
      </w:r>
      <w:r w:rsidRPr="00BB4B2A">
        <w:t xml:space="preserve">) qui constituent un nouveau tournant, en particulier </w:t>
      </w:r>
      <w:hyperlink r:id="rId7" w:history="1">
        <w:r w:rsidRPr="00BB4B2A">
          <w:rPr>
            <w:color w:val="0000FF"/>
            <w:u w:val="single"/>
          </w:rPr>
          <w:t>l'enquête ENVEFF</w:t>
        </w:r>
      </w:hyperlink>
      <w:r w:rsidRPr="00BB4B2A">
        <w:t xml:space="preserve"> en 2000, suivie par </w:t>
      </w:r>
      <w:hyperlink r:id="rId8" w:history="1">
        <w:r w:rsidRPr="00BB4B2A">
          <w:rPr>
            <w:color w:val="0000FF"/>
            <w:u w:val="single"/>
          </w:rPr>
          <w:t>l'enquête CSF</w:t>
        </w:r>
      </w:hyperlink>
      <w:r w:rsidRPr="00BB4B2A">
        <w:t xml:space="preserve"> en 2006.</w:t>
      </w:r>
    </w:p>
    <w:p w:rsidR="00A21185" w:rsidRPr="00BB4B2A" w:rsidRDefault="00A21185" w:rsidP="00A21185">
      <w:pPr>
        <w:jc w:val="both"/>
      </w:pPr>
      <w:r w:rsidRPr="00BB4B2A">
        <w:t xml:space="preserve">A ce corpus, on peut désormais ajouter le travail réalisé sous notre direction par une équipe du </w:t>
      </w:r>
      <w:hyperlink r:id="rId9" w:history="1">
        <w:r w:rsidRPr="00BB4B2A">
          <w:rPr>
            <w:color w:val="0000FF"/>
            <w:u w:val="single"/>
          </w:rPr>
          <w:t>CESDIP</w:t>
        </w:r>
      </w:hyperlink>
      <w:r w:rsidRPr="00BB4B2A">
        <w:t xml:space="preserve"> en 2009, et dont Véronique LE GOAZIOU tire ce livre intitulé </w:t>
      </w:r>
      <w:r w:rsidRPr="00BB4B2A">
        <w:rPr>
          <w:i/>
          <w:iCs/>
        </w:rPr>
        <w:t>Le viol. Aspects sociologiques d'un crime</w:t>
      </w:r>
      <w:r w:rsidRPr="00BB4B2A">
        <w:t xml:space="preserve">. Il est publié aujourd'hui par </w:t>
      </w:r>
      <w:hyperlink r:id="rId10" w:history="1">
        <w:r w:rsidRPr="00BB4B2A">
          <w:rPr>
            <w:color w:val="0000FF"/>
            <w:u w:val="single"/>
          </w:rPr>
          <w:t>La Documentation française</w:t>
        </w:r>
      </w:hyperlink>
      <w:r w:rsidRPr="00BB4B2A">
        <w:t xml:space="preserve"> . La recherche a porté sur 425 affaires de viol impliquant 488 auteurs et 566 victimes, jugées aux assises dans trois départements : Paris, les Yvelines et le Gard. Le livre est épais et les apports multiples. Insistons simplement ici sur deux des grands apports de ce travail scientifique.</w:t>
      </w:r>
    </w:p>
    <w:p w:rsidR="00A21185" w:rsidRPr="00BB4B2A" w:rsidRDefault="00A21185" w:rsidP="00A21185">
      <w:pPr>
        <w:jc w:val="both"/>
        <w:rPr>
          <w:b/>
          <w:bCs/>
          <w:sz w:val="27"/>
          <w:szCs w:val="27"/>
        </w:rPr>
      </w:pPr>
      <w:r w:rsidRPr="00BB4B2A">
        <w:rPr>
          <w:b/>
          <w:bCs/>
          <w:sz w:val="27"/>
          <w:szCs w:val="27"/>
        </w:rPr>
        <w:t>Le viol, un crime de proximité</w:t>
      </w:r>
    </w:p>
    <w:p w:rsidR="00A21185" w:rsidRPr="00BB4B2A" w:rsidRDefault="00A21185" w:rsidP="00A21185">
      <w:pPr>
        <w:jc w:val="both"/>
      </w:pPr>
      <w:r w:rsidRPr="00BB4B2A">
        <w:t xml:space="preserve">Alimentée sans cesse par le traitement médiatique des faits divers, la représentation sociale ordinaire du viol est sans doute encore dominée par une peur très ancienne qu'entretiennent tous les supports fictionnels : les romans policiers, le cinéma, les séries télévisées. Tous déclinent en d'infinies variations une sorte de scène idéal-typique : </w:t>
      </w:r>
      <w:r w:rsidRPr="00BB4B2A">
        <w:rPr>
          <w:i/>
          <w:iCs/>
        </w:rPr>
        <w:t>une femme rentrant chez elle, à la tombée de la nuit, qui entend un bruit derrière elle, qui s'enfuit mais qui est rattrapée par l'agresseur inconnu qui la viole et/ou la tue sauvagement</w:t>
      </w:r>
      <w:r w:rsidRPr="00BB4B2A">
        <w:t xml:space="preserve">. Au Moyen-Age, cet agresseur inconnu était « la bête », « le monstre », « le démon » ou « le revenant ». Aujourd'hui, c'est sans doute le fou criminel. Or, comme toujours, les faits divers ne sont pas représentatifs des phénomènes concernés. Ils nous trompent en érigeant en faits de société des histoires aussi rares que singulières. En réalité, le viol demeure avant tout </w:t>
      </w:r>
      <w:r w:rsidRPr="00BB4B2A">
        <w:rPr>
          <w:i/>
          <w:iCs/>
        </w:rPr>
        <w:t>un crime de proximité</w:t>
      </w:r>
      <w:r w:rsidRPr="00BB4B2A">
        <w:t>, c'est-à-dire se produisant dans le cadre de l'interconnaissance voire de l'intimité. Environ 85 fois sur 100, auteurs et victimes se connaissent.</w:t>
      </w:r>
    </w:p>
    <w:p w:rsidR="00A21185" w:rsidRPr="00BB4B2A" w:rsidRDefault="00A21185" w:rsidP="00A21185">
      <w:pPr>
        <w:jc w:val="both"/>
      </w:pPr>
      <w:r w:rsidRPr="00BB4B2A">
        <w:t xml:space="preserve">Cette violence est perpétrée par des hommes (quasi exclusivement) sur des femmes ou des enfants (filles et garçons) avec lesquels ils ont le plus souvent des liens affectifs ou relationnels de forte intensité. Le livre établit une typologie, proposant la distinction entre cinq grands types de viols (au passage, on retiendra qu'il n'y a pas </w:t>
      </w:r>
      <w:r w:rsidRPr="00BB4B2A">
        <w:rPr>
          <w:i/>
          <w:iCs/>
        </w:rPr>
        <w:t>un</w:t>
      </w:r>
      <w:r w:rsidRPr="00BB4B2A">
        <w:t xml:space="preserve"> mais bien </w:t>
      </w:r>
      <w:r w:rsidRPr="00BB4B2A">
        <w:rPr>
          <w:i/>
          <w:iCs/>
        </w:rPr>
        <w:t xml:space="preserve">des </w:t>
      </w:r>
      <w:r w:rsidRPr="00BB4B2A">
        <w:t>viols, donc que toute prétention à théoriser « le » viol est aberrante). Et c'est le viol familial au sens large (commis par des pères, des beaux-pères, des oncles ou des grands-pères, des frères ou des cousins, des conjoints ou des très proches amis de la famille) qui vient largement en tête, devant le viol conjugal, le viol commis par des copains ou des amis des victimes, par des voisins, des relations de travail ou de simples connaissances, enfin et en dernier le viol commis par des inconnus.</w:t>
      </w:r>
    </w:p>
    <w:p w:rsidR="00A21185" w:rsidRPr="00BB4B2A" w:rsidRDefault="00A21185" w:rsidP="00A21185">
      <w:pPr>
        <w:jc w:val="both"/>
      </w:pPr>
      <w:r w:rsidRPr="00BB4B2A">
        <w:t xml:space="preserve">Cette recherche montre aussi que plus les auteurs et les victimes sont proches et plus les </w:t>
      </w:r>
      <w:proofErr w:type="gramStart"/>
      <w:r w:rsidRPr="00BB4B2A">
        <w:t>agressions sont</w:t>
      </w:r>
      <w:proofErr w:type="gramEnd"/>
      <w:r w:rsidRPr="00BB4B2A">
        <w:t xml:space="preserve"> longues et multipliées. Ainsi, quasiment tous les viols commis par des agresseurs peu connus ou inconnus des victimes sont des viols uniques. Mais à l'inverse, les viols familiaux commis par des ascendants ou par des collatéraux sont dans leur grande majorité des viols répétés sur des moyennes voire des longues durées (5 ans et plus). Dès lors, contrairement aux représentations communes, les violeurs en série sont très rarement des personnes inconnues de leurs victimes. C'est bien plutôt dans le cercle familial qu'elles sévissent, où presque deux tiers des auteurs étudiés dans ces dossiers judiciaires ont commis plusieurs agressions sexuelles et/ou plusieurs viols sur une ou plusieurs personnes de leur entourage. Dès lors, Véronique Le Goaziou propose avec raison d'introduire la notion-clef de </w:t>
      </w:r>
      <w:r w:rsidRPr="00BB4B2A">
        <w:rPr>
          <w:b/>
          <w:bCs/>
          <w:i/>
          <w:iCs/>
        </w:rPr>
        <w:t>violeur-abuseur en série de proximité</w:t>
      </w:r>
      <w:r w:rsidRPr="00BB4B2A">
        <w:t>.</w:t>
      </w:r>
    </w:p>
    <w:p w:rsidR="00A21185" w:rsidRPr="00BB4B2A" w:rsidRDefault="00A21185" w:rsidP="00A21185">
      <w:pPr>
        <w:jc w:val="both"/>
        <w:rPr>
          <w:b/>
          <w:bCs/>
          <w:sz w:val="27"/>
          <w:szCs w:val="27"/>
        </w:rPr>
      </w:pPr>
      <w:r w:rsidRPr="00BB4B2A">
        <w:rPr>
          <w:b/>
          <w:bCs/>
          <w:sz w:val="27"/>
          <w:szCs w:val="27"/>
        </w:rPr>
        <w:t>Mais où sont donc passés les classes sociales aisées ?</w:t>
      </w:r>
    </w:p>
    <w:p w:rsidR="00A21185" w:rsidRPr="00BB4B2A" w:rsidRDefault="00A21185" w:rsidP="00A21185">
      <w:pPr>
        <w:jc w:val="both"/>
      </w:pPr>
      <w:r w:rsidRPr="00BB4B2A">
        <w:lastRenderedPageBreak/>
        <w:t xml:space="preserve">Globalement, bien que travaillant uniquement sur les affaires très minoritaires parvenues aux assises, ce livre confirme la plupart des aspects des viols révélés par les enquêtes de </w:t>
      </w:r>
      <w:proofErr w:type="spellStart"/>
      <w:r w:rsidRPr="00BB4B2A">
        <w:t>victimation</w:t>
      </w:r>
      <w:proofErr w:type="spellEnd"/>
      <w:r w:rsidRPr="00BB4B2A">
        <w:t>, sauf sur un point : le milieu social des auteurs.</w:t>
      </w:r>
    </w:p>
    <w:p w:rsidR="00A21185" w:rsidRPr="00BB4B2A" w:rsidRDefault="00A21185" w:rsidP="00A21185">
      <w:pPr>
        <w:jc w:val="both"/>
      </w:pPr>
      <w:r w:rsidRPr="00BB4B2A">
        <w:t xml:space="preserve">Les enquêtes de </w:t>
      </w:r>
      <w:proofErr w:type="spellStart"/>
      <w:r w:rsidRPr="00BB4B2A">
        <w:t>victimation</w:t>
      </w:r>
      <w:proofErr w:type="spellEnd"/>
      <w:r w:rsidRPr="00BB4B2A">
        <w:t xml:space="preserve"> indiquent que les violences sexuelles dont l'auteur est connu de la victime sévissent dans tous les milieux sociaux et dans des proportions à peu près équivalentes. En revanche, dans les affaires de viols jugées aux assises, l'on observe une forte surreprésentation des auteurs appartenant aux milieux populaires, voire à ses franges les plus précarisées. Sur les 488 auteurs impliqués, près de 90 % avaient un père </w:t>
      </w:r>
      <w:proofErr w:type="gramStart"/>
      <w:r w:rsidRPr="00BB4B2A">
        <w:t>issus</w:t>
      </w:r>
      <w:proofErr w:type="gramEnd"/>
      <w:r w:rsidRPr="00BB4B2A">
        <w:t xml:space="preserve"> des classes populaires. Parvenus à l'âge adulte et au moment des faits, l'on trouve 45 % d'ouvriers ou de petits employés, 41 % de chômeurs ou d'inactifs, 7 % d'artisans, commerçants ou agriculteurs et seulement 7 % de cadres moyens ou supérieurs (alors qu'ils représentent environ 40 % de la population active à l'échelle nationale). En un mot, plus de 90 % des violeurs jugés aux assises appartiennent aux milieux populaires. Dès lors la question (classique) se pose : où sont passés les autres ?</w:t>
      </w:r>
    </w:p>
    <w:p w:rsidR="00A21185" w:rsidRPr="00BB4B2A" w:rsidRDefault="00A21185" w:rsidP="00A21185">
      <w:pPr>
        <w:jc w:val="both"/>
      </w:pPr>
      <w:r w:rsidRPr="00BB4B2A">
        <w:t>Deux principaux mécanismes expliquent probablement cette terrible inégalité sociale des auteurs de viols devant la justice. Le premier est un phénomène de sous-judiciarisation des faits au sein des milieux aisés qui disposent de relations, de pouvoir, d'argent, de bons avocats, de moyens de pression, pour prévenir la divulgation des faits et, le cas échéant, pour se prémunir face à l'action de la police et de la justice et tenter de conserver malgré le crime leurs positions et leurs réputations. Le second mécanisme est l'attention particulière qui est au contraire portée en permanence aux populations défavorisées par les services médico-sociaux, les services éducatifs, la police et la justice, ce qui conduit à une plus forte détection des faits illicites commis en leur sein.</w:t>
      </w:r>
    </w:p>
    <w:p w:rsidR="00A21185" w:rsidRPr="00A21185" w:rsidRDefault="00A21185" w:rsidP="00A21185">
      <w:pPr>
        <w:jc w:val="right"/>
        <w:rPr>
          <w:sz w:val="20"/>
        </w:rPr>
      </w:pPr>
      <w:r>
        <w:rPr>
          <w:sz w:val="20"/>
        </w:rPr>
        <w:t xml:space="preserve">Source : </w:t>
      </w:r>
      <w:r w:rsidRPr="00A21185">
        <w:rPr>
          <w:sz w:val="20"/>
        </w:rPr>
        <w:t xml:space="preserve">Laurent </w:t>
      </w:r>
      <w:proofErr w:type="spellStart"/>
      <w:r w:rsidRPr="00A21185">
        <w:rPr>
          <w:sz w:val="20"/>
        </w:rPr>
        <w:t>Mucchielli</w:t>
      </w:r>
      <w:proofErr w:type="spellEnd"/>
      <w:r w:rsidRPr="00A21185">
        <w:rPr>
          <w:sz w:val="20"/>
        </w:rPr>
        <w:t xml:space="preserve"> – blog du Monde.fr : </w:t>
      </w:r>
      <w:r>
        <w:rPr>
          <w:sz w:val="20"/>
        </w:rPr>
        <w:br/>
      </w:r>
      <w:r w:rsidRPr="00A21185">
        <w:rPr>
          <w:sz w:val="20"/>
        </w:rPr>
        <w:t>http://insecurite.blog.lemonde.fr/2011/05/19/le-viol-aspects-sociologiques-dun-crime/</w:t>
      </w:r>
    </w:p>
    <w:p w:rsidR="007E06B3" w:rsidRDefault="007E06B3" w:rsidP="007E06B3">
      <w:pPr>
        <w:jc w:val="both"/>
      </w:pPr>
    </w:p>
    <w:p w:rsidR="007E06B3" w:rsidRDefault="007E06B3" w:rsidP="007E06B3">
      <w:pPr>
        <w:jc w:val="both"/>
      </w:pPr>
      <w:r>
        <w:t xml:space="preserve">Il est possible de compléter ce travail par l’examen de données statistiques sur le viol. Nous vous proposons plusieurs documents qui pourront permettre de passer des représentations du viol à l’objectivation de ce type de crime en l’étudiant comme un fait social. </w:t>
      </w:r>
    </w:p>
    <w:p w:rsidR="007E06B3" w:rsidRPr="00A21185" w:rsidRDefault="007E06B3" w:rsidP="007E06B3">
      <w:pPr>
        <w:jc w:val="both"/>
      </w:pPr>
      <w:r>
        <w:t xml:space="preserve">A partir de ces documents et d’une réflexion sur les trois derniers paragraphes du texte de Laurent </w:t>
      </w:r>
      <w:proofErr w:type="spellStart"/>
      <w:r>
        <w:t>Mucchielli</w:t>
      </w:r>
      <w:proofErr w:type="spellEnd"/>
      <w:r>
        <w:t xml:space="preserve">, il est possible de travailler les notions de chiffre noir de la délinquance et d’enquête de </w:t>
      </w:r>
      <w:proofErr w:type="spellStart"/>
      <w:r>
        <w:t>victimation</w:t>
      </w:r>
      <w:proofErr w:type="spellEnd"/>
      <w:r>
        <w:t xml:space="preserve"> et donc de mener un travail fin sur la construction des données statistiques.</w:t>
      </w:r>
    </w:p>
    <w:p w:rsidR="007E06B3" w:rsidRDefault="007E06B3" w:rsidP="00D401C9">
      <w:pPr>
        <w:pStyle w:val="Titre4"/>
      </w:pPr>
      <w:r>
        <w:lastRenderedPageBreak/>
        <w:t>Données statistiques sur les auteurs</w:t>
      </w:r>
    </w:p>
    <w:p w:rsidR="007E06B3" w:rsidRDefault="007E06B3" w:rsidP="00D401C9">
      <w:pPr>
        <w:jc w:val="center"/>
      </w:pPr>
      <w:r>
        <w:rPr>
          <w:noProof/>
          <w:lang w:eastAsia="fr-FR"/>
        </w:rPr>
        <w:drawing>
          <wp:inline distT="0" distB="0" distL="0" distR="0">
            <wp:extent cx="4422321" cy="4224129"/>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422258" cy="4224069"/>
                    </a:xfrm>
                    <a:prstGeom prst="rect">
                      <a:avLst/>
                    </a:prstGeom>
                    <a:noFill/>
                    <a:ln w="9525">
                      <a:noFill/>
                      <a:miter lim="800000"/>
                      <a:headEnd/>
                      <a:tailEnd/>
                    </a:ln>
                  </pic:spPr>
                </pic:pic>
              </a:graphicData>
            </a:graphic>
          </wp:inline>
        </w:drawing>
      </w:r>
    </w:p>
    <w:p w:rsidR="007E06B3" w:rsidRDefault="007E06B3" w:rsidP="007E06B3">
      <w:pPr>
        <w:jc w:val="right"/>
      </w:pPr>
      <w:r>
        <w:t xml:space="preserve">Source : </w:t>
      </w:r>
      <w:hyperlink r:id="rId12" w:history="1">
        <w:r w:rsidRPr="00AF3D07">
          <w:rPr>
            <w:rStyle w:val="Lienhypertexte"/>
          </w:rPr>
          <w:t>http://femmes.gouv.fr/wp-content/uploads/2012/07/Chiffres_cles_2010_egalite_hommes_femmes.pdf</w:t>
        </w:r>
      </w:hyperlink>
    </w:p>
    <w:p w:rsidR="007E06B3" w:rsidRDefault="00D401C9" w:rsidP="00D401C9">
      <w:pPr>
        <w:jc w:val="center"/>
      </w:pPr>
      <w:r w:rsidRPr="00D401C9">
        <w:rPr>
          <w:noProof/>
          <w:lang w:eastAsia="fr-FR"/>
        </w:rPr>
        <w:drawing>
          <wp:inline distT="0" distB="0" distL="0" distR="0">
            <wp:extent cx="3970129" cy="4102925"/>
            <wp:effectExtent l="19050" t="0" r="0" b="0"/>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3971341" cy="4104177"/>
                    </a:xfrm>
                    <a:prstGeom prst="rect">
                      <a:avLst/>
                    </a:prstGeom>
                    <a:noFill/>
                    <a:ln w="9525">
                      <a:noFill/>
                      <a:miter lim="800000"/>
                      <a:headEnd/>
                      <a:tailEnd/>
                    </a:ln>
                  </pic:spPr>
                </pic:pic>
              </a:graphicData>
            </a:graphic>
          </wp:inline>
        </w:drawing>
      </w:r>
    </w:p>
    <w:p w:rsidR="00D401C9" w:rsidRDefault="00D401C9" w:rsidP="00D401C9">
      <w:pPr>
        <w:jc w:val="right"/>
      </w:pPr>
      <w:r>
        <w:t xml:space="preserve">Source : </w:t>
      </w:r>
      <w:hyperlink r:id="rId14" w:history="1">
        <w:r w:rsidRPr="00AF3D07">
          <w:rPr>
            <w:rStyle w:val="Lienhypertexte"/>
          </w:rPr>
          <w:t>http://www.insee.fr/fr/themes/document.asp?ref_id=ip1180&amp;reg_id=0</w:t>
        </w:r>
      </w:hyperlink>
    </w:p>
    <w:p w:rsidR="00D401C9" w:rsidRDefault="00D401C9" w:rsidP="007E06B3">
      <w:pPr>
        <w:jc w:val="both"/>
      </w:pPr>
    </w:p>
    <w:p w:rsidR="007E06B3" w:rsidRDefault="007E06B3" w:rsidP="00D401C9">
      <w:pPr>
        <w:pStyle w:val="Titre4"/>
      </w:pPr>
      <w:r>
        <w:t xml:space="preserve">Enquêtes de </w:t>
      </w:r>
      <w:proofErr w:type="spellStart"/>
      <w:r>
        <w:t>victimation</w:t>
      </w:r>
      <w:proofErr w:type="spellEnd"/>
    </w:p>
    <w:p w:rsidR="007E06B3" w:rsidRDefault="007E06B3" w:rsidP="00D401C9">
      <w:pPr>
        <w:jc w:val="center"/>
      </w:pPr>
      <w:r>
        <w:rPr>
          <w:noProof/>
          <w:lang w:eastAsia="fr-FR"/>
        </w:rPr>
        <w:drawing>
          <wp:inline distT="0" distB="0" distL="0" distR="0">
            <wp:extent cx="4251114" cy="4560125"/>
            <wp:effectExtent l="1905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252101" cy="4561184"/>
                    </a:xfrm>
                    <a:prstGeom prst="rect">
                      <a:avLst/>
                    </a:prstGeom>
                    <a:noFill/>
                    <a:ln w="9525">
                      <a:noFill/>
                      <a:miter lim="800000"/>
                      <a:headEnd/>
                      <a:tailEnd/>
                    </a:ln>
                  </pic:spPr>
                </pic:pic>
              </a:graphicData>
            </a:graphic>
          </wp:inline>
        </w:drawing>
      </w:r>
    </w:p>
    <w:p w:rsidR="007E06B3" w:rsidRDefault="007E06B3" w:rsidP="007E06B3">
      <w:pPr>
        <w:jc w:val="right"/>
      </w:pPr>
      <w:r>
        <w:t xml:space="preserve">Source : </w:t>
      </w:r>
      <w:hyperlink r:id="rId16" w:history="1">
        <w:r w:rsidRPr="00AF3D07">
          <w:rPr>
            <w:rStyle w:val="Lienhypertexte"/>
          </w:rPr>
          <w:t>http://femmes.gouv.fr/wp-content/uploads/2012/07/Chiffres_cles_2010_egalite_hommes_femmes.pdf</w:t>
        </w:r>
      </w:hyperlink>
    </w:p>
    <w:p w:rsidR="007E06B3" w:rsidRDefault="00D401C9" w:rsidP="00D401C9">
      <w:pPr>
        <w:jc w:val="center"/>
      </w:pPr>
      <w:r>
        <w:rPr>
          <w:noProof/>
          <w:lang w:eastAsia="fr-FR"/>
        </w:rPr>
        <w:drawing>
          <wp:inline distT="0" distB="0" distL="0" distR="0">
            <wp:extent cx="4766565" cy="3918857"/>
            <wp:effectExtent l="19050" t="0" r="0" b="0"/>
            <wp:docPr id="6"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4767719" cy="3919805"/>
                    </a:xfrm>
                    <a:prstGeom prst="rect">
                      <a:avLst/>
                    </a:prstGeom>
                    <a:noFill/>
                    <a:ln w="9525">
                      <a:noFill/>
                      <a:miter lim="800000"/>
                      <a:headEnd/>
                      <a:tailEnd/>
                    </a:ln>
                  </pic:spPr>
                </pic:pic>
              </a:graphicData>
            </a:graphic>
          </wp:inline>
        </w:drawing>
      </w:r>
    </w:p>
    <w:p w:rsidR="00D401C9" w:rsidRDefault="00D401C9" w:rsidP="00D401C9">
      <w:pPr>
        <w:jc w:val="right"/>
      </w:pPr>
      <w:r>
        <w:lastRenderedPageBreak/>
        <w:t xml:space="preserve">Source : </w:t>
      </w:r>
      <w:hyperlink r:id="rId18" w:history="1">
        <w:r w:rsidRPr="00AF3D07">
          <w:rPr>
            <w:rStyle w:val="Lienhypertexte"/>
          </w:rPr>
          <w:t>http://www.insee.fr/fr/ffc/ipweb/ip1473/ip1473.pdf</w:t>
        </w:r>
      </w:hyperlink>
      <w:r>
        <w:t xml:space="preserve"> </w:t>
      </w:r>
    </w:p>
    <w:p w:rsidR="00D401C9" w:rsidRDefault="00D401C9" w:rsidP="00D401C9">
      <w:pPr>
        <w:jc w:val="center"/>
      </w:pPr>
      <w:r>
        <w:rPr>
          <w:noProof/>
          <w:lang w:eastAsia="fr-FR"/>
        </w:rPr>
        <w:drawing>
          <wp:inline distT="0" distB="0" distL="0" distR="0">
            <wp:extent cx="3630341" cy="5314208"/>
            <wp:effectExtent l="19050" t="0" r="8209" b="0"/>
            <wp:docPr id="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3632141" cy="5316842"/>
                    </a:xfrm>
                    <a:prstGeom prst="rect">
                      <a:avLst/>
                    </a:prstGeom>
                    <a:noFill/>
                    <a:ln w="9525">
                      <a:noFill/>
                      <a:miter lim="800000"/>
                      <a:headEnd/>
                      <a:tailEnd/>
                    </a:ln>
                  </pic:spPr>
                </pic:pic>
              </a:graphicData>
            </a:graphic>
          </wp:inline>
        </w:drawing>
      </w:r>
    </w:p>
    <w:p w:rsidR="00D401C9" w:rsidRDefault="00D401C9" w:rsidP="00D401C9">
      <w:pPr>
        <w:jc w:val="right"/>
      </w:pPr>
      <w:r>
        <w:t xml:space="preserve">Source : </w:t>
      </w:r>
      <w:hyperlink r:id="rId20" w:history="1">
        <w:r w:rsidRPr="00AF3D07">
          <w:rPr>
            <w:rStyle w:val="Lienhypertexte"/>
          </w:rPr>
          <w:t>http://www.ined.fr/fichier/s_rubrique/19113/pop_soc445.fr.pdf</w:t>
        </w:r>
      </w:hyperlink>
      <w:r>
        <w:t xml:space="preserve"> </w:t>
      </w:r>
    </w:p>
    <w:p w:rsidR="00D401C9" w:rsidRDefault="00D401C9" w:rsidP="00D401C9">
      <w:pPr>
        <w:jc w:val="right"/>
      </w:pPr>
    </w:p>
    <w:p w:rsidR="00147498" w:rsidRDefault="00D401C9" w:rsidP="00D401C9">
      <w:pPr>
        <w:pStyle w:val="Titre4"/>
      </w:pPr>
      <w:r>
        <w:lastRenderedPageBreak/>
        <w:t>Recours des victimes : judiciarisation ou non ?</w:t>
      </w:r>
    </w:p>
    <w:p w:rsidR="00346E56" w:rsidRDefault="00346E56" w:rsidP="00D401C9">
      <w:pPr>
        <w:jc w:val="center"/>
      </w:pPr>
      <w:r>
        <w:rPr>
          <w:noProof/>
          <w:lang w:eastAsia="fr-FR"/>
        </w:rPr>
        <w:drawing>
          <wp:inline distT="0" distB="0" distL="0" distR="0">
            <wp:extent cx="2852563" cy="3877294"/>
            <wp:effectExtent l="19050" t="0" r="4937"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srcRect/>
                    <a:stretch>
                      <a:fillRect/>
                    </a:stretch>
                  </pic:blipFill>
                  <pic:spPr bwMode="auto">
                    <a:xfrm>
                      <a:off x="0" y="0"/>
                      <a:ext cx="2853722" cy="3878869"/>
                    </a:xfrm>
                    <a:prstGeom prst="rect">
                      <a:avLst/>
                    </a:prstGeom>
                    <a:noFill/>
                    <a:ln w="9525">
                      <a:noFill/>
                      <a:miter lim="800000"/>
                      <a:headEnd/>
                      <a:tailEnd/>
                    </a:ln>
                  </pic:spPr>
                </pic:pic>
              </a:graphicData>
            </a:graphic>
          </wp:inline>
        </w:drawing>
      </w:r>
    </w:p>
    <w:p w:rsidR="00346E56" w:rsidRDefault="00346E56" w:rsidP="00D401C9">
      <w:pPr>
        <w:jc w:val="right"/>
      </w:pPr>
      <w:r>
        <w:t xml:space="preserve">Source : </w:t>
      </w:r>
      <w:hyperlink r:id="rId22" w:history="1">
        <w:r w:rsidRPr="00AF3D07">
          <w:rPr>
            <w:rStyle w:val="Lienhypertexte"/>
          </w:rPr>
          <w:t>http://www.insee.fr/fr/ffc/ipweb/ip1473/ip1473.pdf</w:t>
        </w:r>
      </w:hyperlink>
      <w:r>
        <w:t xml:space="preserve"> </w:t>
      </w:r>
    </w:p>
    <w:p w:rsidR="00677E7D" w:rsidRDefault="00677E7D" w:rsidP="00D401C9">
      <w:pPr>
        <w:jc w:val="center"/>
      </w:pPr>
      <w:r>
        <w:rPr>
          <w:noProof/>
          <w:lang w:eastAsia="fr-FR"/>
        </w:rPr>
        <w:drawing>
          <wp:inline distT="0" distB="0" distL="0" distR="0">
            <wp:extent cx="4108571" cy="4286992"/>
            <wp:effectExtent l="19050" t="0" r="6229"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4108477" cy="4286894"/>
                    </a:xfrm>
                    <a:prstGeom prst="rect">
                      <a:avLst/>
                    </a:prstGeom>
                    <a:noFill/>
                    <a:ln w="9525">
                      <a:noFill/>
                      <a:miter lim="800000"/>
                      <a:headEnd/>
                      <a:tailEnd/>
                    </a:ln>
                  </pic:spPr>
                </pic:pic>
              </a:graphicData>
            </a:graphic>
          </wp:inline>
        </w:drawing>
      </w:r>
    </w:p>
    <w:p w:rsidR="00677E7D" w:rsidRDefault="00677E7D" w:rsidP="00677E7D"/>
    <w:p w:rsidR="00677E7D" w:rsidRDefault="00677E7D" w:rsidP="00677E7D">
      <w:r>
        <w:t>Source</w:t>
      </w:r>
      <w:r w:rsidR="00D401C9">
        <w:t xml:space="preserve"> </w:t>
      </w:r>
      <w:r>
        <w:t xml:space="preserve">: </w:t>
      </w:r>
      <w:hyperlink r:id="rId24" w:history="1">
        <w:r w:rsidRPr="00AF3D07">
          <w:rPr>
            <w:rStyle w:val="Lienhypertexte"/>
          </w:rPr>
          <w:t>http://www.insee.fr/fr/themes/document.asp?ref_id=ip1180&amp;reg_id=0</w:t>
        </w:r>
      </w:hyperlink>
    </w:p>
    <w:p w:rsidR="006B3C9F" w:rsidRDefault="006B3C9F" w:rsidP="00677E7D"/>
    <w:p w:rsidR="006B3C9F" w:rsidRDefault="006B3C9F" w:rsidP="00677E7D">
      <w:r>
        <w:lastRenderedPageBreak/>
        <w:t xml:space="preserve">Deux articles de Véronique Le Goaziou sur </w:t>
      </w:r>
      <w:r w:rsidR="00A010FA">
        <w:t xml:space="preserve">une énigme sociologique : </w:t>
      </w:r>
      <w:r w:rsidR="00D401C9">
        <w:t>« </w:t>
      </w:r>
      <w:r w:rsidR="00A010FA" w:rsidRPr="00D401C9">
        <w:t>alors que ces violences, et notamment le viol, sévissent dans tous les milieux sociaux, comment expliquer que le peu d’agresseurs mis en cause par la justice soient très largement issus des milieux populaires ?</w:t>
      </w:r>
      <w:r w:rsidR="00D401C9">
        <w:t> »</w:t>
      </w:r>
      <w:r>
        <w:t> :</w:t>
      </w:r>
    </w:p>
    <w:p w:rsidR="006B3C9F" w:rsidRPr="00D401C9" w:rsidRDefault="006B3C9F" w:rsidP="00D401C9">
      <w:pPr>
        <w:pStyle w:val="Paragraphedeliste"/>
        <w:numPr>
          <w:ilvl w:val="0"/>
          <w:numId w:val="4"/>
        </w:numPr>
        <w:rPr>
          <w:rFonts w:cstheme="minorHAnsi"/>
        </w:rPr>
      </w:pPr>
      <w:r w:rsidRPr="00D401C9">
        <w:rPr>
          <w:rFonts w:cstheme="minorHAnsi"/>
        </w:rPr>
        <w:t>« </w:t>
      </w:r>
      <w:hyperlink r:id="rId25" w:history="1">
        <w:r w:rsidRPr="00D401C9">
          <w:rPr>
            <w:rStyle w:val="Lienhypertexte"/>
            <w:rFonts w:cstheme="minorHAnsi"/>
          </w:rPr>
          <w:t>Les viols aux assises : regard sur un mouvement de judiciarisation </w:t>
        </w:r>
      </w:hyperlink>
      <w:r w:rsidRPr="00D401C9">
        <w:rPr>
          <w:rFonts w:cstheme="minorHAnsi"/>
        </w:rPr>
        <w:t>», Archives de politique criminelle, n°34, 2012/1</w:t>
      </w:r>
    </w:p>
    <w:p w:rsidR="00A010FA" w:rsidRPr="00D401C9" w:rsidRDefault="00A010FA" w:rsidP="00D401C9">
      <w:pPr>
        <w:pStyle w:val="Paragraphedeliste"/>
        <w:numPr>
          <w:ilvl w:val="0"/>
          <w:numId w:val="4"/>
        </w:numPr>
        <w:rPr>
          <w:rFonts w:cstheme="minorHAnsi"/>
        </w:rPr>
      </w:pPr>
      <w:r w:rsidRPr="00D401C9">
        <w:rPr>
          <w:rFonts w:cstheme="minorHAnsi"/>
        </w:rPr>
        <w:t>« </w:t>
      </w:r>
      <w:hyperlink r:id="rId26" w:history="1">
        <w:r w:rsidRPr="00D401C9">
          <w:rPr>
            <w:rStyle w:val="Lienhypertexte"/>
            <w:rFonts w:cstheme="minorHAnsi"/>
          </w:rPr>
          <w:t>Les viols en justice : une (in)justice de classe ? </w:t>
        </w:r>
      </w:hyperlink>
      <w:r w:rsidRPr="00D401C9">
        <w:rPr>
          <w:rFonts w:cstheme="minorHAnsi"/>
        </w:rPr>
        <w:t>», Nouvelles questions féministes, vol. 32, 2013/1</w:t>
      </w:r>
    </w:p>
    <w:p w:rsidR="00677E7D" w:rsidRDefault="00677E7D" w:rsidP="00677E7D">
      <w:pPr>
        <w:pStyle w:val="Titre3"/>
      </w:pPr>
      <w:r>
        <w:t>La délinquance féminine</w:t>
      </w:r>
    </w:p>
    <w:p w:rsidR="00FA4AA9" w:rsidRPr="00A21185" w:rsidRDefault="00FA4AA9" w:rsidP="00FA4AA9">
      <w:pPr>
        <w:spacing w:after="0" w:line="240" w:lineRule="auto"/>
      </w:pPr>
    </w:p>
    <w:p w:rsidR="00FA4AA9" w:rsidRDefault="00FA4AA9" w:rsidP="00FA4AA9">
      <w:pPr>
        <w:pStyle w:val="Paragraphedeliste"/>
        <w:numPr>
          <w:ilvl w:val="0"/>
          <w:numId w:val="5"/>
        </w:numPr>
        <w:spacing w:after="0" w:line="240" w:lineRule="auto"/>
      </w:pPr>
      <w:r>
        <w:t>Quelles sont les trois informations qui vous paraissent les plus importantes dans ce document sur la délinquance féminine ?</w:t>
      </w:r>
    </w:p>
    <w:p w:rsidR="00FA4AA9" w:rsidRDefault="00FA4AA9" w:rsidP="00FA4AA9">
      <w:pPr>
        <w:pStyle w:val="Paragraphedeliste"/>
        <w:numPr>
          <w:ilvl w:val="0"/>
          <w:numId w:val="5"/>
        </w:numPr>
        <w:spacing w:after="0" w:line="240" w:lineRule="auto"/>
      </w:pPr>
      <w:r>
        <w:t>Calculer le chiffre manquant.</w:t>
      </w:r>
    </w:p>
    <w:p w:rsidR="00FA4AA9" w:rsidRDefault="00FA4AA9" w:rsidP="00FA4AA9">
      <w:pPr>
        <w:pStyle w:val="Paragraphedeliste"/>
        <w:numPr>
          <w:ilvl w:val="0"/>
          <w:numId w:val="5"/>
        </w:numPr>
        <w:spacing w:after="0" w:line="240" w:lineRule="auto"/>
      </w:pPr>
      <w:r>
        <w:t>Proposez une hypothèse pour l’expliquer.</w:t>
      </w:r>
    </w:p>
    <w:p w:rsidR="00FA4AA9" w:rsidRDefault="00FA4AA9" w:rsidP="00FA4AA9">
      <w:pPr>
        <w:spacing w:after="0" w:line="240" w:lineRule="auto"/>
      </w:pPr>
    </w:p>
    <w:p w:rsidR="00FA4AA9" w:rsidRPr="00FA4AA9" w:rsidRDefault="00FA4AA9" w:rsidP="00FA4AA9">
      <w:pPr>
        <w:spacing w:after="240" w:line="240" w:lineRule="auto"/>
        <w:rPr>
          <w:b/>
          <w:sz w:val="20"/>
          <w:szCs w:val="20"/>
        </w:rPr>
      </w:pPr>
      <w:r w:rsidRPr="00FA4AA9">
        <w:rPr>
          <w:b/>
          <w:sz w:val="20"/>
          <w:szCs w:val="20"/>
        </w:rPr>
        <w:t>Nombre de condamnations selon le sexe des condamnés et son la nature de l’infraction</w:t>
      </w:r>
    </w:p>
    <w:tbl>
      <w:tblPr>
        <w:tblW w:w="9693" w:type="dxa"/>
        <w:tblLook w:val="04A0"/>
      </w:tblPr>
      <w:tblGrid>
        <w:gridCol w:w="4660"/>
        <w:gridCol w:w="1273"/>
        <w:gridCol w:w="1200"/>
        <w:gridCol w:w="1200"/>
        <w:gridCol w:w="1360"/>
      </w:tblGrid>
      <w:tr w:rsidR="00FA4AA9" w:rsidRPr="00FA4AA9" w:rsidTr="00761C5C">
        <w:trPr>
          <w:trHeight w:val="300"/>
        </w:trPr>
        <w:tc>
          <w:tcPr>
            <w:tcW w:w="4660" w:type="dxa"/>
            <w:tcBorders>
              <w:top w:val="nil"/>
              <w:left w:val="nil"/>
              <w:bottom w:val="nil"/>
              <w:right w:val="nil"/>
            </w:tcBorders>
            <w:shd w:val="clear" w:color="auto" w:fill="auto"/>
            <w:noWrap/>
            <w:vAlign w:val="bottom"/>
            <w:hideMark/>
          </w:tcPr>
          <w:p w:rsidR="00FA4AA9" w:rsidRPr="00FA4AA9" w:rsidRDefault="00FA4AA9" w:rsidP="00761C5C">
            <w:pPr>
              <w:spacing w:after="0" w:line="240" w:lineRule="auto"/>
              <w:rPr>
                <w:rFonts w:ascii="Calibri" w:eastAsia="Times New Roman" w:hAnsi="Calibri" w:cs="Times New Roman"/>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Condamnés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Femmes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Hommes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 de femmes</w:t>
            </w:r>
          </w:p>
        </w:tc>
      </w:tr>
      <w:tr w:rsidR="00FA4AA9" w:rsidRPr="00FA4AA9" w:rsidTr="00761C5C">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rPr>
                <w:rFonts w:ascii="Calibri" w:eastAsia="Times New Roman" w:hAnsi="Calibri" w:cs="Times New Roman"/>
                <w:b/>
                <w:bCs/>
                <w:color w:val="000000"/>
                <w:sz w:val="16"/>
                <w:szCs w:val="16"/>
              </w:rPr>
            </w:pPr>
            <w:r w:rsidRPr="00FA4AA9">
              <w:rPr>
                <w:rFonts w:ascii="Calibri" w:eastAsia="Times New Roman" w:hAnsi="Calibri" w:cs="Times New Roman"/>
                <w:b/>
                <w:bCs/>
                <w:color w:val="000000"/>
                <w:sz w:val="16"/>
                <w:szCs w:val="16"/>
              </w:rPr>
              <w:t>CRIMES</w:t>
            </w:r>
          </w:p>
        </w:tc>
        <w:tc>
          <w:tcPr>
            <w:tcW w:w="1273"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b/>
                <w:bCs/>
                <w:color w:val="000000"/>
                <w:sz w:val="16"/>
                <w:szCs w:val="16"/>
              </w:rPr>
            </w:pPr>
            <w:r w:rsidRPr="00FA4AA9">
              <w:rPr>
                <w:rFonts w:ascii="Calibri" w:eastAsia="Times New Roman" w:hAnsi="Calibri" w:cs="Times New Roman"/>
                <w:b/>
                <w:bCs/>
                <w:color w:val="000000"/>
                <w:sz w:val="16"/>
                <w:szCs w:val="16"/>
              </w:rPr>
              <w:t>2703</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b/>
                <w:bCs/>
                <w:color w:val="000000"/>
                <w:sz w:val="16"/>
                <w:szCs w:val="16"/>
              </w:rPr>
            </w:pPr>
            <w:r w:rsidRPr="00FA4AA9">
              <w:rPr>
                <w:rFonts w:ascii="Calibri" w:eastAsia="Times New Roman" w:hAnsi="Calibri" w:cs="Times New Roman"/>
                <w:b/>
                <w:bCs/>
                <w:color w:val="000000"/>
                <w:sz w:val="16"/>
                <w:szCs w:val="16"/>
              </w:rPr>
              <w:t>138</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b/>
                <w:bCs/>
                <w:color w:val="000000"/>
                <w:sz w:val="16"/>
                <w:szCs w:val="16"/>
              </w:rPr>
            </w:pPr>
            <w:r w:rsidRPr="00FA4AA9">
              <w:rPr>
                <w:rFonts w:ascii="Calibri" w:eastAsia="Times New Roman" w:hAnsi="Calibri" w:cs="Times New Roman"/>
                <w:b/>
                <w:bCs/>
                <w:color w:val="000000"/>
                <w:sz w:val="16"/>
                <w:szCs w:val="16"/>
              </w:rPr>
              <w:t>2565</w:t>
            </w:r>
          </w:p>
        </w:tc>
        <w:tc>
          <w:tcPr>
            <w:tcW w:w="136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b/>
                <w:bCs/>
                <w:color w:val="000000"/>
                <w:sz w:val="16"/>
                <w:szCs w:val="16"/>
              </w:rPr>
            </w:pPr>
            <w:r w:rsidRPr="00FA4AA9">
              <w:rPr>
                <w:rFonts w:ascii="Calibri" w:eastAsia="Times New Roman" w:hAnsi="Calibri" w:cs="Times New Roman"/>
                <w:b/>
                <w:bCs/>
                <w:color w:val="000000"/>
                <w:sz w:val="16"/>
                <w:szCs w:val="16"/>
              </w:rPr>
              <w:t>5,1</w:t>
            </w:r>
          </w:p>
        </w:tc>
      </w:tr>
      <w:tr w:rsidR="00FA4AA9" w:rsidRPr="00FA4AA9" w:rsidTr="00761C5C">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dont HOMICIDES VOLONTAIRES</w:t>
            </w:r>
          </w:p>
        </w:tc>
        <w:tc>
          <w:tcPr>
            <w:tcW w:w="1273"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420</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37</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383</w:t>
            </w:r>
          </w:p>
        </w:tc>
        <w:tc>
          <w:tcPr>
            <w:tcW w:w="136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8,8</w:t>
            </w:r>
          </w:p>
        </w:tc>
      </w:tr>
      <w:tr w:rsidR="00FA4AA9" w:rsidRPr="00FA4AA9" w:rsidTr="00761C5C">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dont COUPS ET VIOLENCES VOLONTAIRES (CVV)</w:t>
            </w:r>
          </w:p>
        </w:tc>
        <w:tc>
          <w:tcPr>
            <w:tcW w:w="1273"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323</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50</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273</w:t>
            </w:r>
          </w:p>
        </w:tc>
        <w:tc>
          <w:tcPr>
            <w:tcW w:w="136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15,5</w:t>
            </w:r>
          </w:p>
        </w:tc>
      </w:tr>
      <w:tr w:rsidR="00FA4AA9" w:rsidRPr="00FA4AA9" w:rsidTr="00761C5C">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dont VIOLS ET ATTENTATS A LA PUDEUR</w:t>
            </w:r>
          </w:p>
        </w:tc>
        <w:tc>
          <w:tcPr>
            <w:tcW w:w="1273"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1275</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23</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1252</w:t>
            </w:r>
          </w:p>
        </w:tc>
        <w:tc>
          <w:tcPr>
            <w:tcW w:w="136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1,8</w:t>
            </w:r>
          </w:p>
        </w:tc>
      </w:tr>
      <w:tr w:rsidR="00FA4AA9" w:rsidRPr="00FA4AA9" w:rsidTr="00761C5C">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dont VOLS, RECEL, DESTRUCTION</w:t>
            </w:r>
          </w:p>
        </w:tc>
        <w:tc>
          <w:tcPr>
            <w:tcW w:w="1273"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655</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27</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628</w:t>
            </w:r>
          </w:p>
        </w:tc>
        <w:tc>
          <w:tcPr>
            <w:tcW w:w="136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4,1</w:t>
            </w:r>
          </w:p>
        </w:tc>
      </w:tr>
      <w:tr w:rsidR="00FA4AA9" w:rsidRPr="00FA4AA9" w:rsidTr="00761C5C">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rPr>
                <w:rFonts w:ascii="Calibri" w:eastAsia="Times New Roman" w:hAnsi="Calibri" w:cs="Times New Roman"/>
                <w:b/>
                <w:bCs/>
                <w:color w:val="000000"/>
                <w:sz w:val="16"/>
                <w:szCs w:val="16"/>
              </w:rPr>
            </w:pPr>
            <w:r w:rsidRPr="00FA4AA9">
              <w:rPr>
                <w:rFonts w:ascii="Calibri" w:eastAsia="Times New Roman" w:hAnsi="Calibri" w:cs="Times New Roman"/>
                <w:b/>
                <w:bCs/>
                <w:color w:val="000000"/>
                <w:sz w:val="16"/>
                <w:szCs w:val="16"/>
              </w:rPr>
              <w:t>DELITS</w:t>
            </w:r>
          </w:p>
        </w:tc>
        <w:tc>
          <w:tcPr>
            <w:tcW w:w="1273"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b/>
                <w:bCs/>
                <w:color w:val="000000"/>
                <w:sz w:val="16"/>
                <w:szCs w:val="16"/>
              </w:rPr>
            </w:pPr>
            <w:r w:rsidRPr="00FA4AA9">
              <w:rPr>
                <w:rFonts w:ascii="Calibri" w:eastAsia="Times New Roman" w:hAnsi="Calibri" w:cs="Times New Roman"/>
                <w:b/>
                <w:bCs/>
                <w:color w:val="000000"/>
                <w:sz w:val="16"/>
                <w:szCs w:val="16"/>
              </w:rPr>
              <w:t>570639</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b/>
                <w:bCs/>
                <w:color w:val="000000"/>
                <w:sz w:val="16"/>
                <w:szCs w:val="16"/>
              </w:rPr>
            </w:pPr>
            <w:r w:rsidRPr="00FA4AA9">
              <w:rPr>
                <w:rFonts w:ascii="Calibri" w:eastAsia="Times New Roman" w:hAnsi="Calibri" w:cs="Times New Roman"/>
                <w:b/>
                <w:bCs/>
                <w:color w:val="000000"/>
                <w:sz w:val="16"/>
                <w:szCs w:val="16"/>
              </w:rPr>
              <w:t>57363</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b/>
                <w:bCs/>
                <w:color w:val="000000"/>
                <w:sz w:val="16"/>
                <w:szCs w:val="16"/>
              </w:rPr>
            </w:pPr>
            <w:r w:rsidRPr="00FA4AA9">
              <w:rPr>
                <w:rFonts w:ascii="Calibri" w:eastAsia="Times New Roman" w:hAnsi="Calibri" w:cs="Times New Roman"/>
                <w:b/>
                <w:bCs/>
                <w:color w:val="000000"/>
                <w:sz w:val="16"/>
                <w:szCs w:val="16"/>
              </w:rPr>
              <w:t>513276</w:t>
            </w:r>
          </w:p>
        </w:tc>
        <w:tc>
          <w:tcPr>
            <w:tcW w:w="136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b/>
                <w:bCs/>
                <w:color w:val="000000"/>
                <w:sz w:val="16"/>
                <w:szCs w:val="16"/>
              </w:rPr>
            </w:pPr>
            <w:r w:rsidRPr="00FA4AA9">
              <w:rPr>
                <w:rFonts w:ascii="Calibri" w:eastAsia="Times New Roman" w:hAnsi="Calibri" w:cs="Times New Roman"/>
                <w:b/>
                <w:bCs/>
                <w:color w:val="000000"/>
                <w:sz w:val="16"/>
                <w:szCs w:val="16"/>
              </w:rPr>
              <w:t>10,1</w:t>
            </w:r>
          </w:p>
        </w:tc>
      </w:tr>
      <w:tr w:rsidR="00FA4AA9" w:rsidRPr="00FA4AA9" w:rsidTr="00761C5C">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dont VOLS, RECELS</w:t>
            </w:r>
          </w:p>
        </w:tc>
        <w:tc>
          <w:tcPr>
            <w:tcW w:w="1273"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95874</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11945</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83929</w:t>
            </w:r>
          </w:p>
        </w:tc>
        <w:tc>
          <w:tcPr>
            <w:tcW w:w="136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12,5</w:t>
            </w:r>
          </w:p>
        </w:tc>
      </w:tr>
      <w:tr w:rsidR="00FA4AA9" w:rsidRPr="00FA4AA9" w:rsidTr="00761C5C">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dont ESCROQUERIES, ABUS DE CONFIANCE</w:t>
            </w:r>
          </w:p>
        </w:tc>
        <w:tc>
          <w:tcPr>
            <w:tcW w:w="1273"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16564</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4250</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12314</w:t>
            </w:r>
          </w:p>
        </w:tc>
        <w:tc>
          <w:tcPr>
            <w:tcW w:w="136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25,7</w:t>
            </w:r>
          </w:p>
        </w:tc>
      </w:tr>
      <w:tr w:rsidR="00FA4AA9" w:rsidRPr="00FA4AA9" w:rsidTr="00761C5C">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dont DESTRUCTIONS, DEGRADATION</w:t>
            </w:r>
          </w:p>
        </w:tc>
        <w:tc>
          <w:tcPr>
            <w:tcW w:w="1273"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15084</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944</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14140</w:t>
            </w:r>
          </w:p>
        </w:tc>
        <w:tc>
          <w:tcPr>
            <w:tcW w:w="136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6,3</w:t>
            </w:r>
          </w:p>
        </w:tc>
      </w:tr>
      <w:tr w:rsidR="00FA4AA9" w:rsidRPr="00FA4AA9" w:rsidTr="00761C5C">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dont CIRCULATION ROUTIERE</w:t>
            </w:r>
          </w:p>
        </w:tc>
        <w:tc>
          <w:tcPr>
            <w:tcW w:w="1273"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233698</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19442</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214256</w:t>
            </w:r>
          </w:p>
        </w:tc>
        <w:tc>
          <w:tcPr>
            <w:tcW w:w="136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8,3</w:t>
            </w:r>
          </w:p>
        </w:tc>
      </w:tr>
      <w:tr w:rsidR="00FA4AA9" w:rsidRPr="00FA4AA9" w:rsidTr="00761C5C">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dont TRAVAIL ET SECURITE SOCIALE</w:t>
            </w:r>
          </w:p>
        </w:tc>
        <w:tc>
          <w:tcPr>
            <w:tcW w:w="1273"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5763</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1118</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4645</w:t>
            </w:r>
          </w:p>
        </w:tc>
        <w:tc>
          <w:tcPr>
            <w:tcW w:w="136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19,4</w:t>
            </w:r>
          </w:p>
        </w:tc>
      </w:tr>
      <w:tr w:rsidR="00FA4AA9" w:rsidRPr="00FA4AA9" w:rsidTr="00761C5C">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dont COUPS ET VIOLENCES VOLONTAIRES (CVV)</w:t>
            </w:r>
          </w:p>
        </w:tc>
        <w:tc>
          <w:tcPr>
            <w:tcW w:w="1273"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57759</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5248</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52511</w:t>
            </w:r>
          </w:p>
        </w:tc>
        <w:tc>
          <w:tcPr>
            <w:tcW w:w="136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9,1</w:t>
            </w:r>
          </w:p>
        </w:tc>
      </w:tr>
      <w:tr w:rsidR="00FA4AA9" w:rsidRPr="00FA4AA9" w:rsidTr="00761C5C">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dont BLESSURES INVOLONTAIRES</w:t>
            </w:r>
          </w:p>
        </w:tc>
        <w:tc>
          <w:tcPr>
            <w:tcW w:w="1273"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7671</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1382</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6289</w:t>
            </w:r>
          </w:p>
        </w:tc>
        <w:tc>
          <w:tcPr>
            <w:tcW w:w="136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18,0</w:t>
            </w:r>
          </w:p>
        </w:tc>
      </w:tr>
      <w:tr w:rsidR="00FA4AA9" w:rsidRPr="00FA4AA9" w:rsidTr="00761C5C">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dont ATTEINTES A LA FAMILLE</w:t>
            </w:r>
          </w:p>
        </w:tc>
        <w:tc>
          <w:tcPr>
            <w:tcW w:w="1273"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5312</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890</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4422</w:t>
            </w:r>
          </w:p>
        </w:tc>
        <w:tc>
          <w:tcPr>
            <w:tcW w:w="136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16,8</w:t>
            </w:r>
          </w:p>
        </w:tc>
      </w:tr>
      <w:tr w:rsidR="00FA4AA9" w:rsidRPr="00FA4AA9" w:rsidTr="00761C5C">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dont ATTEINTES AUX MOEURS</w:t>
            </w:r>
          </w:p>
        </w:tc>
        <w:tc>
          <w:tcPr>
            <w:tcW w:w="1273"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8771</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439</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8332</w:t>
            </w:r>
          </w:p>
        </w:tc>
        <w:tc>
          <w:tcPr>
            <w:tcW w:w="136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5,0</w:t>
            </w:r>
          </w:p>
        </w:tc>
      </w:tr>
      <w:tr w:rsidR="00FA4AA9" w:rsidRPr="00FA4AA9" w:rsidTr="00761C5C">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dont AUTRES ATTEINTES A LA PERSONNE</w:t>
            </w:r>
          </w:p>
        </w:tc>
        <w:tc>
          <w:tcPr>
            <w:tcW w:w="1273"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12120</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1082</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11038</w:t>
            </w:r>
          </w:p>
        </w:tc>
        <w:tc>
          <w:tcPr>
            <w:tcW w:w="136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8,9</w:t>
            </w:r>
          </w:p>
        </w:tc>
      </w:tr>
      <w:tr w:rsidR="00FA4AA9" w:rsidRPr="00FA4AA9" w:rsidTr="00761C5C">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dont INFRACTIONS SUR LES STUPEFIANTS</w:t>
            </w:r>
          </w:p>
        </w:tc>
        <w:tc>
          <w:tcPr>
            <w:tcW w:w="1273"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52630</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3091</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49539</w:t>
            </w:r>
          </w:p>
        </w:tc>
        <w:tc>
          <w:tcPr>
            <w:tcW w:w="136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5,9</w:t>
            </w:r>
          </w:p>
        </w:tc>
      </w:tr>
      <w:tr w:rsidR="00FA4AA9" w:rsidRPr="00FA4AA9" w:rsidTr="00761C5C">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dont COMMERCE ET TRANSPORT D'ARME</w:t>
            </w:r>
          </w:p>
        </w:tc>
        <w:tc>
          <w:tcPr>
            <w:tcW w:w="1273"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5597</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155</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5442</w:t>
            </w:r>
          </w:p>
        </w:tc>
        <w:tc>
          <w:tcPr>
            <w:tcW w:w="136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2,8</w:t>
            </w:r>
          </w:p>
        </w:tc>
      </w:tr>
      <w:tr w:rsidR="00FA4AA9" w:rsidRPr="00FA4AA9" w:rsidTr="00761C5C">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dont ORDRE ADMINISTRATIF ET JUDICIAIRE</w:t>
            </w:r>
          </w:p>
        </w:tc>
        <w:tc>
          <w:tcPr>
            <w:tcW w:w="1273"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27583</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3147</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24436</w:t>
            </w:r>
          </w:p>
        </w:tc>
        <w:tc>
          <w:tcPr>
            <w:tcW w:w="136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11,4</w:t>
            </w:r>
          </w:p>
        </w:tc>
      </w:tr>
      <w:tr w:rsidR="00FA4AA9" w:rsidRPr="00FA4AA9" w:rsidTr="00761C5C">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rPr>
                <w:rFonts w:ascii="Calibri" w:eastAsia="Times New Roman" w:hAnsi="Calibri" w:cs="Times New Roman"/>
                <w:b/>
                <w:bCs/>
                <w:color w:val="000000"/>
                <w:sz w:val="16"/>
                <w:szCs w:val="16"/>
              </w:rPr>
            </w:pPr>
            <w:r w:rsidRPr="00FA4AA9">
              <w:rPr>
                <w:rFonts w:ascii="Calibri" w:eastAsia="Times New Roman" w:hAnsi="Calibri" w:cs="Times New Roman"/>
                <w:b/>
                <w:bCs/>
                <w:color w:val="000000"/>
                <w:sz w:val="16"/>
                <w:szCs w:val="16"/>
              </w:rPr>
              <w:t>CONTRAVENTIONS (5ème CLASSE)</w:t>
            </w:r>
          </w:p>
        </w:tc>
        <w:tc>
          <w:tcPr>
            <w:tcW w:w="1273"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b/>
                <w:bCs/>
                <w:color w:val="000000"/>
                <w:sz w:val="16"/>
                <w:szCs w:val="16"/>
              </w:rPr>
            </w:pPr>
            <w:r w:rsidRPr="00FA4AA9">
              <w:rPr>
                <w:rFonts w:ascii="Calibri" w:eastAsia="Times New Roman" w:hAnsi="Calibri" w:cs="Times New Roman"/>
                <w:b/>
                <w:bCs/>
                <w:color w:val="000000"/>
                <w:sz w:val="16"/>
                <w:szCs w:val="16"/>
              </w:rPr>
              <w:t>37160</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b/>
                <w:bCs/>
                <w:color w:val="000000"/>
                <w:sz w:val="16"/>
                <w:szCs w:val="16"/>
              </w:rPr>
            </w:pPr>
            <w:r w:rsidRPr="00FA4AA9">
              <w:rPr>
                <w:rFonts w:ascii="Calibri" w:eastAsia="Times New Roman" w:hAnsi="Calibri" w:cs="Times New Roman"/>
                <w:b/>
                <w:bCs/>
                <w:color w:val="000000"/>
                <w:sz w:val="16"/>
                <w:szCs w:val="16"/>
              </w:rPr>
              <w:t>3189</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b/>
                <w:bCs/>
                <w:color w:val="000000"/>
                <w:sz w:val="16"/>
                <w:szCs w:val="16"/>
              </w:rPr>
            </w:pPr>
            <w:r w:rsidRPr="00FA4AA9">
              <w:rPr>
                <w:rFonts w:ascii="Calibri" w:eastAsia="Times New Roman" w:hAnsi="Calibri" w:cs="Times New Roman"/>
                <w:b/>
                <w:bCs/>
                <w:color w:val="000000"/>
                <w:sz w:val="16"/>
                <w:szCs w:val="16"/>
              </w:rPr>
              <w:t>33971</w:t>
            </w:r>
          </w:p>
        </w:tc>
        <w:tc>
          <w:tcPr>
            <w:tcW w:w="136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b/>
                <w:bCs/>
                <w:color w:val="000000"/>
                <w:sz w:val="16"/>
                <w:szCs w:val="16"/>
              </w:rPr>
            </w:pPr>
            <w:r w:rsidRPr="00FA4AA9">
              <w:rPr>
                <w:rFonts w:ascii="Calibri" w:eastAsia="Times New Roman" w:hAnsi="Calibri" w:cs="Times New Roman"/>
                <w:b/>
                <w:bCs/>
                <w:color w:val="000000"/>
                <w:sz w:val="16"/>
                <w:szCs w:val="16"/>
              </w:rPr>
              <w:t>8,6</w:t>
            </w:r>
          </w:p>
        </w:tc>
      </w:tr>
      <w:tr w:rsidR="00FA4AA9" w:rsidRPr="00FA4AA9" w:rsidTr="00761C5C">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dont CIRCULATION ROUTIERE</w:t>
            </w:r>
          </w:p>
        </w:tc>
        <w:tc>
          <w:tcPr>
            <w:tcW w:w="1273"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14556</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813</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13743</w:t>
            </w:r>
          </w:p>
        </w:tc>
        <w:tc>
          <w:tcPr>
            <w:tcW w:w="136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5,6</w:t>
            </w:r>
          </w:p>
        </w:tc>
      </w:tr>
      <w:tr w:rsidR="00FA4AA9" w:rsidRPr="00FA4AA9" w:rsidTr="00761C5C">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dont INFRACTIONS EN MATIERE DE TRANSPORTS</w:t>
            </w:r>
          </w:p>
        </w:tc>
        <w:tc>
          <w:tcPr>
            <w:tcW w:w="1273"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5706</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179</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5527</w:t>
            </w:r>
          </w:p>
        </w:tc>
        <w:tc>
          <w:tcPr>
            <w:tcW w:w="136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3,1</w:t>
            </w:r>
          </w:p>
        </w:tc>
      </w:tr>
      <w:tr w:rsidR="00FA4AA9" w:rsidRPr="00FA4AA9" w:rsidTr="00761C5C">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dont COUPS ET VIOLENCES VOLONTAIRES (CVV)</w:t>
            </w:r>
          </w:p>
        </w:tc>
        <w:tc>
          <w:tcPr>
            <w:tcW w:w="1273"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8426</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1310</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7116</w:t>
            </w:r>
          </w:p>
        </w:tc>
        <w:tc>
          <w:tcPr>
            <w:tcW w:w="136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color w:val="000000"/>
                <w:sz w:val="16"/>
                <w:szCs w:val="16"/>
              </w:rPr>
            </w:pPr>
            <w:r w:rsidRPr="00FA4AA9">
              <w:rPr>
                <w:rFonts w:ascii="Calibri" w:eastAsia="Times New Roman" w:hAnsi="Calibri" w:cs="Times New Roman"/>
                <w:color w:val="000000"/>
                <w:sz w:val="16"/>
                <w:szCs w:val="16"/>
              </w:rPr>
              <w:t>15,5</w:t>
            </w:r>
          </w:p>
        </w:tc>
      </w:tr>
      <w:tr w:rsidR="00FA4AA9" w:rsidRPr="00FA4AA9" w:rsidTr="00761C5C">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rPr>
                <w:rFonts w:ascii="Calibri" w:eastAsia="Times New Roman" w:hAnsi="Calibri" w:cs="Times New Roman"/>
                <w:b/>
                <w:bCs/>
                <w:color w:val="000000"/>
                <w:sz w:val="16"/>
                <w:szCs w:val="16"/>
              </w:rPr>
            </w:pPr>
            <w:r w:rsidRPr="00FA4AA9">
              <w:rPr>
                <w:rFonts w:ascii="Calibri" w:eastAsia="Times New Roman" w:hAnsi="Calibri" w:cs="Times New Roman"/>
                <w:b/>
                <w:bCs/>
                <w:color w:val="000000"/>
                <w:sz w:val="16"/>
                <w:szCs w:val="16"/>
              </w:rPr>
              <w:t>TOUTES INFRACTIONS</w:t>
            </w:r>
          </w:p>
        </w:tc>
        <w:tc>
          <w:tcPr>
            <w:tcW w:w="1273"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b/>
                <w:bCs/>
                <w:color w:val="000000"/>
                <w:sz w:val="16"/>
                <w:szCs w:val="16"/>
              </w:rPr>
            </w:pPr>
            <w:r w:rsidRPr="00FA4AA9">
              <w:rPr>
                <w:rFonts w:ascii="Calibri" w:eastAsia="Times New Roman" w:hAnsi="Calibri" w:cs="Times New Roman"/>
                <w:b/>
                <w:bCs/>
                <w:color w:val="000000"/>
                <w:sz w:val="16"/>
                <w:szCs w:val="16"/>
              </w:rPr>
              <w:t>610502</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b/>
                <w:bCs/>
                <w:color w:val="000000"/>
                <w:sz w:val="16"/>
                <w:szCs w:val="16"/>
              </w:rPr>
            </w:pPr>
            <w:r w:rsidRPr="00FA4AA9">
              <w:rPr>
                <w:rFonts w:ascii="Calibri" w:eastAsia="Times New Roman" w:hAnsi="Calibri" w:cs="Times New Roman"/>
                <w:b/>
                <w:bCs/>
                <w:color w:val="000000"/>
                <w:sz w:val="16"/>
                <w:szCs w:val="16"/>
              </w:rPr>
              <w:t>60690</w:t>
            </w:r>
          </w:p>
        </w:tc>
        <w:tc>
          <w:tcPr>
            <w:tcW w:w="120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b/>
                <w:bCs/>
                <w:color w:val="000000"/>
                <w:sz w:val="16"/>
                <w:szCs w:val="16"/>
              </w:rPr>
            </w:pPr>
            <w:r w:rsidRPr="00FA4AA9">
              <w:rPr>
                <w:rFonts w:ascii="Calibri" w:eastAsia="Times New Roman" w:hAnsi="Calibri" w:cs="Times New Roman"/>
                <w:b/>
                <w:bCs/>
                <w:color w:val="000000"/>
                <w:sz w:val="16"/>
                <w:szCs w:val="16"/>
              </w:rPr>
              <w:t>549812</w:t>
            </w:r>
          </w:p>
        </w:tc>
        <w:tc>
          <w:tcPr>
            <w:tcW w:w="1360" w:type="dxa"/>
            <w:tcBorders>
              <w:top w:val="nil"/>
              <w:left w:val="nil"/>
              <w:bottom w:val="single" w:sz="4" w:space="0" w:color="auto"/>
              <w:right w:val="single" w:sz="4" w:space="0" w:color="auto"/>
            </w:tcBorders>
            <w:shd w:val="clear" w:color="auto" w:fill="auto"/>
            <w:noWrap/>
            <w:vAlign w:val="bottom"/>
            <w:hideMark/>
          </w:tcPr>
          <w:p w:rsidR="00FA4AA9" w:rsidRPr="00FA4AA9" w:rsidRDefault="00FA4AA9" w:rsidP="00761C5C">
            <w:pPr>
              <w:spacing w:after="0" w:line="240" w:lineRule="auto"/>
              <w:jc w:val="right"/>
              <w:rPr>
                <w:rFonts w:ascii="Calibri" w:eastAsia="Times New Roman" w:hAnsi="Calibri" w:cs="Times New Roman"/>
                <w:b/>
                <w:bCs/>
                <w:color w:val="000000"/>
                <w:sz w:val="16"/>
                <w:szCs w:val="16"/>
              </w:rPr>
            </w:pPr>
            <w:r w:rsidRPr="00FA4AA9">
              <w:rPr>
                <w:rFonts w:ascii="Calibri" w:eastAsia="Times New Roman" w:hAnsi="Calibri" w:cs="Times New Roman"/>
                <w:b/>
                <w:bCs/>
                <w:color w:val="000000"/>
                <w:sz w:val="16"/>
                <w:szCs w:val="16"/>
              </w:rPr>
              <w:t>……………</w:t>
            </w:r>
          </w:p>
        </w:tc>
      </w:tr>
    </w:tbl>
    <w:p w:rsidR="00FA4AA9" w:rsidRPr="00FA4AA9" w:rsidRDefault="00FA4AA9" w:rsidP="00FA4AA9">
      <w:pPr>
        <w:spacing w:after="0" w:line="240" w:lineRule="auto"/>
        <w:rPr>
          <w:rFonts w:ascii="Calibri" w:hAnsi="Calibri"/>
          <w:sz w:val="16"/>
          <w:szCs w:val="16"/>
        </w:rPr>
      </w:pPr>
      <w:r>
        <w:rPr>
          <w:rFonts w:eastAsia="Times New Roman" w:cs="Arial"/>
          <w:sz w:val="16"/>
          <w:szCs w:val="16"/>
        </w:rPr>
        <w:t xml:space="preserve">Source : </w:t>
      </w:r>
      <w:r w:rsidRPr="00653B7D">
        <w:rPr>
          <w:rFonts w:eastAsia="Times New Roman" w:cs="Arial"/>
          <w:sz w:val="16"/>
          <w:szCs w:val="16"/>
        </w:rPr>
        <w:t>Condamnations 2012 Résultats définitifs, Ministère de la Justice - SG/SDSE - Exploitation statistique du casier judiciaire national</w:t>
      </w:r>
      <w:r>
        <w:rPr>
          <w:rFonts w:eastAsia="Times New Roman" w:cs="Arial"/>
          <w:sz w:val="16"/>
          <w:szCs w:val="16"/>
        </w:rPr>
        <w:t xml:space="preserve">, </w:t>
      </w:r>
      <w:hyperlink r:id="rId27" w:history="1">
        <w:r w:rsidRPr="00B47E72">
          <w:rPr>
            <w:rStyle w:val="Lienhypertexte"/>
            <w:rFonts w:eastAsia="Times New Roman" w:cs="Arial"/>
            <w:sz w:val="16"/>
            <w:szCs w:val="16"/>
          </w:rPr>
          <w:t>http://www.justice.gouv.fr/art_pix/Stat_Conda_2012.pdf</w:t>
        </w:r>
      </w:hyperlink>
    </w:p>
    <w:p w:rsidR="00FA4AA9" w:rsidRPr="00A21185" w:rsidRDefault="00FA4AA9" w:rsidP="00FA4AA9">
      <w:pPr>
        <w:spacing w:after="0" w:line="240" w:lineRule="auto"/>
      </w:pPr>
    </w:p>
    <w:p w:rsidR="00FA4AA9" w:rsidRDefault="00FA4AA9" w:rsidP="00FA4AA9">
      <w:pPr>
        <w:pStyle w:val="Paragraphedeliste"/>
        <w:numPr>
          <w:ilvl w:val="0"/>
          <w:numId w:val="5"/>
        </w:numPr>
      </w:pPr>
      <w:r>
        <w:t>Reportez dans le tableau ci-dessous le chiffre calculé à la question 2.</w:t>
      </w:r>
    </w:p>
    <w:tbl>
      <w:tblPr>
        <w:tblStyle w:val="Grilledutableau"/>
        <w:tblpPr w:leftFromText="180" w:rightFromText="180" w:vertAnchor="text" w:horzAnchor="margin" w:tblpY="76"/>
        <w:tblW w:w="0" w:type="auto"/>
        <w:tblLook w:val="04A0"/>
      </w:tblPr>
      <w:tblGrid>
        <w:gridCol w:w="1510"/>
        <w:gridCol w:w="1510"/>
        <w:gridCol w:w="1510"/>
        <w:gridCol w:w="1510"/>
        <w:gridCol w:w="1511"/>
        <w:gridCol w:w="1511"/>
      </w:tblGrid>
      <w:tr w:rsidR="00FA4AA9" w:rsidRPr="0047556C" w:rsidTr="00761C5C">
        <w:tc>
          <w:tcPr>
            <w:tcW w:w="1510" w:type="dxa"/>
          </w:tcPr>
          <w:p w:rsidR="00FA4AA9" w:rsidRDefault="00FA4AA9" w:rsidP="00FA4AA9">
            <w:pPr>
              <w:pStyle w:val="Paragraphedeliste"/>
            </w:pPr>
          </w:p>
        </w:tc>
        <w:tc>
          <w:tcPr>
            <w:tcW w:w="1510" w:type="dxa"/>
          </w:tcPr>
          <w:p w:rsidR="00FA4AA9" w:rsidRDefault="00FA4AA9" w:rsidP="00761C5C">
            <w:r>
              <w:t>Dans la population française</w:t>
            </w:r>
            <w:r w:rsidRPr="005B1DD9">
              <w:rPr>
                <w:vertAlign w:val="superscript"/>
              </w:rPr>
              <w:t>1</w:t>
            </w:r>
          </w:p>
        </w:tc>
        <w:tc>
          <w:tcPr>
            <w:tcW w:w="1510" w:type="dxa"/>
          </w:tcPr>
          <w:p w:rsidR="00FA4AA9" w:rsidRPr="0047556C" w:rsidRDefault="00FA4AA9" w:rsidP="00761C5C">
            <w:r w:rsidRPr="0047556C">
              <w:t>Parmi les auteurs auto-déclarés</w:t>
            </w:r>
            <w:r>
              <w:t xml:space="preserve"> d’actes délinquants</w:t>
            </w:r>
            <w:r w:rsidRPr="00094070">
              <w:rPr>
                <w:vertAlign w:val="superscript"/>
              </w:rPr>
              <w:t>2</w:t>
            </w:r>
          </w:p>
        </w:tc>
        <w:tc>
          <w:tcPr>
            <w:tcW w:w="1510" w:type="dxa"/>
          </w:tcPr>
          <w:p w:rsidR="00FA4AA9" w:rsidRPr="0047556C" w:rsidRDefault="00FA4AA9" w:rsidP="00761C5C">
            <w:r>
              <w:t>Parmi les personnes mises en cause par la police</w:t>
            </w:r>
            <w:r w:rsidRPr="00FA4AA9">
              <w:rPr>
                <w:vertAlign w:val="superscript"/>
              </w:rPr>
              <w:t>3</w:t>
            </w:r>
          </w:p>
        </w:tc>
        <w:tc>
          <w:tcPr>
            <w:tcW w:w="1511" w:type="dxa"/>
          </w:tcPr>
          <w:p w:rsidR="00FA4AA9" w:rsidRPr="0047556C" w:rsidRDefault="00FA4AA9" w:rsidP="00761C5C">
            <w:r>
              <w:t>Parmi les condamnés</w:t>
            </w:r>
            <w:r w:rsidRPr="005B1DD9">
              <w:rPr>
                <w:vertAlign w:val="superscript"/>
                <w:lang w:val="en-US"/>
              </w:rPr>
              <w:t>4</w:t>
            </w:r>
          </w:p>
        </w:tc>
        <w:tc>
          <w:tcPr>
            <w:tcW w:w="1511" w:type="dxa"/>
          </w:tcPr>
          <w:p w:rsidR="00FA4AA9" w:rsidRPr="0047556C" w:rsidRDefault="00FA4AA9" w:rsidP="00761C5C">
            <w:r>
              <w:t>Parmi les détenus</w:t>
            </w:r>
            <w:r w:rsidRPr="005B1DD9">
              <w:rPr>
                <w:vertAlign w:val="superscript"/>
                <w:lang w:val="en-US"/>
              </w:rPr>
              <w:t>5</w:t>
            </w:r>
          </w:p>
        </w:tc>
      </w:tr>
      <w:tr w:rsidR="00FA4AA9" w:rsidRPr="0047556C" w:rsidTr="00761C5C">
        <w:tc>
          <w:tcPr>
            <w:tcW w:w="1510" w:type="dxa"/>
          </w:tcPr>
          <w:p w:rsidR="00FA4AA9" w:rsidRPr="0047556C" w:rsidRDefault="00FA4AA9" w:rsidP="00761C5C">
            <w:r>
              <w:t>% de femmes</w:t>
            </w:r>
          </w:p>
        </w:tc>
        <w:tc>
          <w:tcPr>
            <w:tcW w:w="1510" w:type="dxa"/>
          </w:tcPr>
          <w:p w:rsidR="00FA4AA9" w:rsidRPr="0047556C" w:rsidRDefault="00FA4AA9" w:rsidP="00761C5C">
            <w:r>
              <w:t>51,6%</w:t>
            </w:r>
          </w:p>
        </w:tc>
        <w:tc>
          <w:tcPr>
            <w:tcW w:w="1510" w:type="dxa"/>
          </w:tcPr>
          <w:p w:rsidR="00FA4AA9" w:rsidRPr="0047556C" w:rsidRDefault="00FA4AA9" w:rsidP="00761C5C">
            <w:r>
              <w:t>42,9%</w:t>
            </w:r>
          </w:p>
        </w:tc>
        <w:tc>
          <w:tcPr>
            <w:tcW w:w="1510" w:type="dxa"/>
          </w:tcPr>
          <w:p w:rsidR="00FA4AA9" w:rsidRPr="0047556C" w:rsidRDefault="00FA4AA9" w:rsidP="00761C5C">
            <w:r>
              <w:t>16,7%</w:t>
            </w:r>
          </w:p>
        </w:tc>
        <w:tc>
          <w:tcPr>
            <w:tcW w:w="1511" w:type="dxa"/>
          </w:tcPr>
          <w:p w:rsidR="00FA4AA9" w:rsidRPr="0047556C" w:rsidRDefault="00FA4AA9" w:rsidP="00761C5C">
            <w:r>
              <w:t>…....%</w:t>
            </w:r>
          </w:p>
        </w:tc>
        <w:tc>
          <w:tcPr>
            <w:tcW w:w="1511" w:type="dxa"/>
          </w:tcPr>
          <w:p w:rsidR="00FA4AA9" w:rsidRPr="0047556C" w:rsidRDefault="00FA4AA9" w:rsidP="00761C5C">
            <w:r>
              <w:t>3,5%</w:t>
            </w:r>
          </w:p>
        </w:tc>
      </w:tr>
    </w:tbl>
    <w:p w:rsidR="00FA4AA9" w:rsidRDefault="00FA4AA9" w:rsidP="00FA4AA9"/>
    <w:p w:rsidR="00FA4AA9" w:rsidRDefault="00FA4AA9" w:rsidP="00FA4AA9">
      <w:pPr>
        <w:rPr>
          <w:sz w:val="16"/>
          <w:szCs w:val="16"/>
        </w:rPr>
      </w:pPr>
    </w:p>
    <w:p w:rsidR="00FA4AA9" w:rsidRDefault="00FA4AA9" w:rsidP="00FA4AA9">
      <w:pPr>
        <w:rPr>
          <w:sz w:val="16"/>
          <w:szCs w:val="16"/>
        </w:rPr>
      </w:pPr>
    </w:p>
    <w:p w:rsidR="00FA4AA9" w:rsidRDefault="00FA4AA9" w:rsidP="00FA4AA9">
      <w:pPr>
        <w:rPr>
          <w:sz w:val="16"/>
          <w:szCs w:val="16"/>
        </w:rPr>
      </w:pPr>
    </w:p>
    <w:p w:rsidR="00FA4AA9" w:rsidRDefault="00FA4AA9" w:rsidP="00FA4AA9">
      <w:pPr>
        <w:rPr>
          <w:sz w:val="16"/>
          <w:szCs w:val="16"/>
        </w:rPr>
      </w:pPr>
    </w:p>
    <w:p w:rsidR="00FA4AA9" w:rsidRDefault="00FA4AA9" w:rsidP="00FA4AA9">
      <w:pPr>
        <w:rPr>
          <w:rStyle w:val="Lienhypertexte"/>
          <w:rFonts w:eastAsia="Times New Roman" w:cs="Arial"/>
          <w:sz w:val="16"/>
          <w:szCs w:val="16"/>
        </w:rPr>
      </w:pPr>
      <w:r w:rsidRPr="00653B7D">
        <w:rPr>
          <w:sz w:val="16"/>
          <w:szCs w:val="16"/>
        </w:rPr>
        <w:lastRenderedPageBreak/>
        <w:t>Source</w:t>
      </w:r>
      <w:r>
        <w:rPr>
          <w:sz w:val="16"/>
          <w:szCs w:val="16"/>
        </w:rPr>
        <w:t>s</w:t>
      </w:r>
      <w:r w:rsidRPr="00653B7D">
        <w:rPr>
          <w:sz w:val="16"/>
          <w:szCs w:val="16"/>
        </w:rPr>
        <w:t xml:space="preserve"> : 1– Insee, </w:t>
      </w:r>
      <w:r>
        <w:rPr>
          <w:sz w:val="16"/>
          <w:szCs w:val="16"/>
        </w:rPr>
        <w:t>estimations de population</w:t>
      </w:r>
      <w:r w:rsidRPr="00653B7D">
        <w:rPr>
          <w:sz w:val="16"/>
          <w:szCs w:val="16"/>
        </w:rPr>
        <w:t>, 2012</w:t>
      </w:r>
      <w:r>
        <w:rPr>
          <w:sz w:val="16"/>
          <w:szCs w:val="16"/>
        </w:rPr>
        <w:t xml:space="preserve">, </w:t>
      </w:r>
      <w:hyperlink r:id="rId28" w:history="1">
        <w:r w:rsidRPr="00B47E72">
          <w:rPr>
            <w:rStyle w:val="Lienhypertexte"/>
            <w:sz w:val="16"/>
            <w:szCs w:val="16"/>
          </w:rPr>
          <w:t>http://www.insee.fr/fr/themes/tableau.asp?reg_id=0&amp;ref_id=NATnon02145</w:t>
        </w:r>
      </w:hyperlink>
      <w:r>
        <w:rPr>
          <w:sz w:val="16"/>
          <w:szCs w:val="16"/>
        </w:rPr>
        <w:t xml:space="preserve"> </w:t>
      </w:r>
      <w:r w:rsidRPr="00653B7D">
        <w:rPr>
          <w:sz w:val="16"/>
          <w:szCs w:val="16"/>
        </w:rPr>
        <w:t xml:space="preserve"> ; 2-  Enquête sur la délinquance auto-déclarée des jeunes, 30 juin 2000, Sebastien Roché et </w:t>
      </w:r>
      <w:proofErr w:type="spellStart"/>
      <w:r w:rsidRPr="00653B7D">
        <w:rPr>
          <w:sz w:val="16"/>
          <w:szCs w:val="16"/>
        </w:rPr>
        <w:t>alii</w:t>
      </w:r>
      <w:proofErr w:type="spellEnd"/>
      <w:r w:rsidRPr="00653B7D">
        <w:rPr>
          <w:sz w:val="16"/>
          <w:szCs w:val="16"/>
        </w:rPr>
        <w:t>, p27 (échantillon de 2228 jeunes âgés de 13 à 19 ans)</w:t>
      </w:r>
      <w:r>
        <w:rPr>
          <w:sz w:val="16"/>
          <w:szCs w:val="16"/>
        </w:rPr>
        <w:t xml:space="preserve">, </w:t>
      </w:r>
      <w:hyperlink r:id="rId29" w:history="1">
        <w:r w:rsidRPr="00B47E72">
          <w:rPr>
            <w:rStyle w:val="Lienhypertexte"/>
            <w:sz w:val="16"/>
            <w:szCs w:val="16"/>
          </w:rPr>
          <w:t>http://www.fondation-maif.fr/pieces-jointes/rapport-final-delinquance.pdf</w:t>
        </w:r>
      </w:hyperlink>
      <w:r>
        <w:rPr>
          <w:sz w:val="16"/>
          <w:szCs w:val="16"/>
        </w:rPr>
        <w:t xml:space="preserve"> </w:t>
      </w:r>
      <w:r w:rsidRPr="00653B7D">
        <w:rPr>
          <w:sz w:val="16"/>
          <w:szCs w:val="16"/>
        </w:rPr>
        <w:t>; 3- Les hommes et les femmes mis en cause par les services de la Police nationale en 2013, La criminalité en France, rapport annuel de l’ONDRP</w:t>
      </w:r>
      <w:r>
        <w:rPr>
          <w:sz w:val="16"/>
          <w:szCs w:val="16"/>
        </w:rPr>
        <w:t xml:space="preserve">, </w:t>
      </w:r>
      <w:hyperlink r:id="rId30" w:history="1">
        <w:r w:rsidRPr="00B47E72">
          <w:rPr>
            <w:rStyle w:val="Lienhypertexte"/>
            <w:sz w:val="16"/>
            <w:szCs w:val="16"/>
          </w:rPr>
          <w:t>http://www.inhesj.fr/sites/default/files/files/ondrp_ra_2014/synthese_ra-2014-v2.pdf</w:t>
        </w:r>
      </w:hyperlink>
      <w:r>
        <w:rPr>
          <w:sz w:val="16"/>
          <w:szCs w:val="16"/>
        </w:rPr>
        <w:t xml:space="preserve"> </w:t>
      </w:r>
      <w:r w:rsidRPr="00653B7D">
        <w:rPr>
          <w:sz w:val="16"/>
          <w:szCs w:val="16"/>
        </w:rPr>
        <w:t xml:space="preserve">; 4- </w:t>
      </w:r>
      <w:r w:rsidRPr="00653B7D">
        <w:rPr>
          <w:rFonts w:eastAsia="Times New Roman" w:cs="Arial"/>
          <w:sz w:val="16"/>
          <w:szCs w:val="16"/>
        </w:rPr>
        <w:t>Condamnations 2012 Résultats définitifs, Ministère de la Justice - SG/SDSE - Exploitation statistique du casier judiciaire national</w:t>
      </w:r>
      <w:r>
        <w:rPr>
          <w:rFonts w:eastAsia="Times New Roman" w:cs="Arial"/>
          <w:sz w:val="16"/>
          <w:szCs w:val="16"/>
        </w:rPr>
        <w:t xml:space="preserve">, </w:t>
      </w:r>
      <w:hyperlink r:id="rId31" w:history="1">
        <w:r w:rsidRPr="00B47E72">
          <w:rPr>
            <w:rStyle w:val="Lienhypertexte"/>
            <w:rFonts w:eastAsia="Times New Roman" w:cs="Arial"/>
            <w:sz w:val="16"/>
            <w:szCs w:val="16"/>
          </w:rPr>
          <w:t>http://www.justice.gouv.fr/art_pix/Stat_Conda_2012.pdf</w:t>
        </w:r>
      </w:hyperlink>
      <w:r>
        <w:rPr>
          <w:rFonts w:eastAsia="Times New Roman" w:cs="Arial"/>
          <w:sz w:val="16"/>
          <w:szCs w:val="16"/>
        </w:rPr>
        <w:t xml:space="preserve"> </w:t>
      </w:r>
      <w:r w:rsidRPr="00653B7D">
        <w:rPr>
          <w:rFonts w:eastAsia="Times New Roman" w:cs="Arial"/>
          <w:sz w:val="16"/>
          <w:szCs w:val="16"/>
        </w:rPr>
        <w:t>; 5- Statistique mensuelle de la population écrouée et détenue en France, 1</w:t>
      </w:r>
      <w:r w:rsidRPr="00653B7D">
        <w:rPr>
          <w:rFonts w:eastAsia="Times New Roman" w:cs="Arial"/>
          <w:sz w:val="16"/>
          <w:szCs w:val="16"/>
          <w:vertAlign w:val="superscript"/>
        </w:rPr>
        <w:t>er</w:t>
      </w:r>
      <w:r w:rsidRPr="00653B7D">
        <w:rPr>
          <w:rFonts w:eastAsia="Times New Roman" w:cs="Arial"/>
          <w:sz w:val="16"/>
          <w:szCs w:val="16"/>
        </w:rPr>
        <w:t xml:space="preserve"> décembre 2012, Direction de l’administration pénitentiaire, </w:t>
      </w:r>
      <w:hyperlink r:id="rId32" w:history="1">
        <w:r w:rsidRPr="00094070">
          <w:rPr>
            <w:rStyle w:val="Lienhypertexte"/>
            <w:rFonts w:eastAsia="Times New Roman" w:cs="Arial"/>
            <w:sz w:val="16"/>
            <w:szCs w:val="16"/>
          </w:rPr>
          <w:t>http://www.justice.gouv.fr/art_pix/mensuelle_inTERnet_decembre_2012.pdf</w:t>
        </w:r>
      </w:hyperlink>
    </w:p>
    <w:p w:rsidR="00FA4AA9" w:rsidRDefault="00FA4AA9" w:rsidP="00FA4AA9">
      <w:pPr>
        <w:pStyle w:val="Paragraphedeliste"/>
        <w:numPr>
          <w:ilvl w:val="0"/>
          <w:numId w:val="5"/>
        </w:numPr>
      </w:pPr>
      <w:r>
        <w:t>Donnez deux explications possibles au fait que les femmes ne représentent qu’environ 3</w:t>
      </w:r>
      <w:r w:rsidR="0009398E">
        <w:t>,5</w:t>
      </w:r>
      <w:bookmarkStart w:id="0" w:name="_GoBack"/>
      <w:bookmarkEnd w:id="0"/>
      <w:r>
        <w:t>% des détenus en France.</w:t>
      </w:r>
    </w:p>
    <w:p w:rsidR="00FA4AA9" w:rsidRPr="00A21185" w:rsidRDefault="00FA4AA9" w:rsidP="00FA4AA9"/>
    <w:p w:rsidR="00677E7D" w:rsidRPr="00677E7D" w:rsidRDefault="00677E7D" w:rsidP="00677E7D"/>
    <w:sectPr w:rsidR="00677E7D" w:rsidRPr="00677E7D" w:rsidSect="00A2118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A50FC"/>
    <w:multiLevelType w:val="hybridMultilevel"/>
    <w:tmpl w:val="527A986A"/>
    <w:lvl w:ilvl="0" w:tplc="FBC691D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90554E"/>
    <w:multiLevelType w:val="hybridMultilevel"/>
    <w:tmpl w:val="CE76437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DFB5EF9"/>
    <w:multiLevelType w:val="hybridMultilevel"/>
    <w:tmpl w:val="511E5EE4"/>
    <w:lvl w:ilvl="0" w:tplc="FBC691D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3715D4"/>
    <w:multiLevelType w:val="hybridMultilevel"/>
    <w:tmpl w:val="CE76437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CF93B78"/>
    <w:multiLevelType w:val="hybridMultilevel"/>
    <w:tmpl w:val="3C5E6FE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53A7F"/>
    <w:rsid w:val="00004E26"/>
    <w:rsid w:val="0009398E"/>
    <w:rsid w:val="00147498"/>
    <w:rsid w:val="00344AEE"/>
    <w:rsid w:val="00346E56"/>
    <w:rsid w:val="00413386"/>
    <w:rsid w:val="005A7CAC"/>
    <w:rsid w:val="00634844"/>
    <w:rsid w:val="00677E7D"/>
    <w:rsid w:val="006B10DE"/>
    <w:rsid w:val="006B3C9F"/>
    <w:rsid w:val="00711EF1"/>
    <w:rsid w:val="007B7C87"/>
    <w:rsid w:val="007E06B3"/>
    <w:rsid w:val="008B6A41"/>
    <w:rsid w:val="00921523"/>
    <w:rsid w:val="009812AE"/>
    <w:rsid w:val="009D1752"/>
    <w:rsid w:val="00A010FA"/>
    <w:rsid w:val="00A21185"/>
    <w:rsid w:val="00A84585"/>
    <w:rsid w:val="00B40C53"/>
    <w:rsid w:val="00B44B0D"/>
    <w:rsid w:val="00C927F9"/>
    <w:rsid w:val="00D06B07"/>
    <w:rsid w:val="00D401C9"/>
    <w:rsid w:val="00D97DAB"/>
    <w:rsid w:val="00DC42F6"/>
    <w:rsid w:val="00DC5171"/>
    <w:rsid w:val="00E076C4"/>
    <w:rsid w:val="00E13450"/>
    <w:rsid w:val="00E53A7F"/>
    <w:rsid w:val="00F167B5"/>
    <w:rsid w:val="00F83AD7"/>
    <w:rsid w:val="00FA4AA9"/>
    <w:rsid w:val="00FE2074"/>
    <w:rsid w:val="00FE7F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C53"/>
  </w:style>
  <w:style w:type="paragraph" w:styleId="Titre1">
    <w:name w:val="heading 1"/>
    <w:basedOn w:val="Normal"/>
    <w:next w:val="Normal"/>
    <w:link w:val="Titre1Car"/>
    <w:uiPriority w:val="9"/>
    <w:qFormat/>
    <w:rsid w:val="00E53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53A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21185"/>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D401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3A7F"/>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39"/>
    <w:rsid w:val="00E53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E53A7F"/>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E53A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53A7F"/>
    <w:rPr>
      <w:rFonts w:asciiTheme="majorHAnsi" w:eastAsiaTheme="majorEastAsia" w:hAnsiTheme="majorHAnsi" w:cstheme="majorBidi"/>
      <w:i/>
      <w:iCs/>
      <w:color w:val="4F81BD" w:themeColor="accent1"/>
      <w:spacing w:val="15"/>
      <w:sz w:val="24"/>
      <w:szCs w:val="24"/>
    </w:rPr>
  </w:style>
  <w:style w:type="character" w:customStyle="1" w:styleId="Titre3Car">
    <w:name w:val="Titre 3 Car"/>
    <w:basedOn w:val="Policepardfaut"/>
    <w:link w:val="Titre3"/>
    <w:uiPriority w:val="9"/>
    <w:rsid w:val="00A21185"/>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A21185"/>
    <w:pPr>
      <w:ind w:left="720"/>
      <w:contextualSpacing/>
    </w:pPr>
  </w:style>
  <w:style w:type="paragraph" w:styleId="Textedebulles">
    <w:name w:val="Balloon Text"/>
    <w:basedOn w:val="Normal"/>
    <w:link w:val="TextedebullesCar"/>
    <w:uiPriority w:val="99"/>
    <w:semiHidden/>
    <w:unhideWhenUsed/>
    <w:rsid w:val="00D06B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6B07"/>
    <w:rPr>
      <w:rFonts w:ascii="Tahoma" w:hAnsi="Tahoma" w:cs="Tahoma"/>
      <w:sz w:val="16"/>
      <w:szCs w:val="16"/>
    </w:rPr>
  </w:style>
  <w:style w:type="character" w:styleId="Lienhypertexte">
    <w:name w:val="Hyperlink"/>
    <w:basedOn w:val="Policepardfaut"/>
    <w:uiPriority w:val="99"/>
    <w:unhideWhenUsed/>
    <w:rsid w:val="00677E7D"/>
    <w:rPr>
      <w:color w:val="0000FF" w:themeColor="hyperlink"/>
      <w:u w:val="single"/>
    </w:rPr>
  </w:style>
  <w:style w:type="character" w:customStyle="1" w:styleId="Titre4Car">
    <w:name w:val="Titre 4 Car"/>
    <w:basedOn w:val="Policepardfaut"/>
    <w:link w:val="Titre4"/>
    <w:uiPriority w:val="9"/>
    <w:rsid w:val="00D401C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9546582">
      <w:bodyDiv w:val="1"/>
      <w:marLeft w:val="0"/>
      <w:marRight w:val="0"/>
      <w:marTop w:val="0"/>
      <w:marBottom w:val="0"/>
      <w:divBdr>
        <w:top w:val="none" w:sz="0" w:space="0" w:color="auto"/>
        <w:left w:val="none" w:sz="0" w:space="0" w:color="auto"/>
        <w:bottom w:val="none" w:sz="0" w:space="0" w:color="auto"/>
        <w:right w:val="none" w:sz="0" w:space="0" w:color="auto"/>
      </w:divBdr>
      <w:divsChild>
        <w:div w:id="1040671094">
          <w:marLeft w:val="0"/>
          <w:marRight w:val="0"/>
          <w:marTop w:val="0"/>
          <w:marBottom w:val="0"/>
          <w:divBdr>
            <w:top w:val="none" w:sz="0" w:space="0" w:color="auto"/>
            <w:left w:val="none" w:sz="0" w:space="0" w:color="auto"/>
            <w:bottom w:val="none" w:sz="0" w:space="0" w:color="auto"/>
            <w:right w:val="none" w:sz="0" w:space="0" w:color="auto"/>
          </w:divBdr>
          <w:divsChild>
            <w:div w:id="1104302634">
              <w:marLeft w:val="0"/>
              <w:marRight w:val="0"/>
              <w:marTop w:val="0"/>
              <w:marBottom w:val="0"/>
              <w:divBdr>
                <w:top w:val="none" w:sz="0" w:space="0" w:color="auto"/>
                <w:left w:val="none" w:sz="0" w:space="0" w:color="auto"/>
                <w:bottom w:val="none" w:sz="0" w:space="0" w:color="auto"/>
                <w:right w:val="none" w:sz="0" w:space="0" w:color="auto"/>
              </w:divBdr>
              <w:divsChild>
                <w:div w:id="982541324">
                  <w:marLeft w:val="0"/>
                  <w:marRight w:val="0"/>
                  <w:marTop w:val="0"/>
                  <w:marBottom w:val="0"/>
                  <w:divBdr>
                    <w:top w:val="none" w:sz="0" w:space="0" w:color="auto"/>
                    <w:left w:val="none" w:sz="0" w:space="0" w:color="auto"/>
                    <w:bottom w:val="none" w:sz="0" w:space="0" w:color="auto"/>
                    <w:right w:val="none" w:sz="0" w:space="0" w:color="auto"/>
                  </w:divBdr>
                  <w:divsChild>
                    <w:div w:id="531235158">
                      <w:marLeft w:val="0"/>
                      <w:marRight w:val="0"/>
                      <w:marTop w:val="0"/>
                      <w:marBottom w:val="823"/>
                      <w:divBdr>
                        <w:top w:val="none" w:sz="0" w:space="0" w:color="auto"/>
                        <w:left w:val="none" w:sz="0" w:space="0" w:color="auto"/>
                        <w:bottom w:val="none" w:sz="0" w:space="0" w:color="auto"/>
                        <w:right w:val="none" w:sz="0" w:space="0" w:color="auto"/>
                      </w:divBdr>
                      <w:divsChild>
                        <w:div w:id="1135099662">
                          <w:marLeft w:val="0"/>
                          <w:marRight w:val="0"/>
                          <w:marTop w:val="0"/>
                          <w:marBottom w:val="0"/>
                          <w:divBdr>
                            <w:top w:val="none" w:sz="0" w:space="0" w:color="auto"/>
                            <w:left w:val="none" w:sz="0" w:space="0" w:color="auto"/>
                            <w:bottom w:val="none" w:sz="0" w:space="0" w:color="auto"/>
                            <w:right w:val="none" w:sz="0" w:space="0" w:color="auto"/>
                          </w:divBdr>
                          <w:divsChild>
                            <w:div w:id="2000502103">
                              <w:marLeft w:val="0"/>
                              <w:marRight w:val="0"/>
                              <w:marTop w:val="0"/>
                              <w:marBottom w:val="0"/>
                              <w:divBdr>
                                <w:top w:val="none" w:sz="0" w:space="0" w:color="auto"/>
                                <w:left w:val="none" w:sz="0" w:space="0" w:color="auto"/>
                                <w:bottom w:val="none" w:sz="0" w:space="0" w:color="auto"/>
                                <w:right w:val="none" w:sz="0" w:space="0" w:color="auto"/>
                              </w:divBdr>
                              <w:divsChild>
                                <w:div w:id="372116237">
                                  <w:marLeft w:val="0"/>
                                  <w:marRight w:val="0"/>
                                  <w:marTop w:val="0"/>
                                  <w:marBottom w:val="0"/>
                                  <w:divBdr>
                                    <w:top w:val="none" w:sz="0" w:space="0" w:color="auto"/>
                                    <w:left w:val="none" w:sz="0" w:space="0" w:color="auto"/>
                                    <w:bottom w:val="none" w:sz="0" w:space="0" w:color="auto"/>
                                    <w:right w:val="none" w:sz="0" w:space="0" w:color="auto"/>
                                  </w:divBdr>
                                </w:div>
                                <w:div w:id="1962346922">
                                  <w:marLeft w:val="0"/>
                                  <w:marRight w:val="0"/>
                                  <w:marTop w:val="0"/>
                                  <w:marBottom w:val="0"/>
                                  <w:divBdr>
                                    <w:top w:val="none" w:sz="0" w:space="0" w:color="auto"/>
                                    <w:left w:val="none" w:sz="0" w:space="0" w:color="auto"/>
                                    <w:bottom w:val="none" w:sz="0" w:space="0" w:color="auto"/>
                                    <w:right w:val="none" w:sz="0" w:space="0" w:color="auto"/>
                                  </w:divBdr>
                                </w:div>
                                <w:div w:id="1500390494">
                                  <w:marLeft w:val="0"/>
                                  <w:marRight w:val="0"/>
                                  <w:marTop w:val="0"/>
                                  <w:marBottom w:val="0"/>
                                  <w:divBdr>
                                    <w:top w:val="none" w:sz="0" w:space="0" w:color="auto"/>
                                    <w:left w:val="none" w:sz="0" w:space="0" w:color="auto"/>
                                    <w:bottom w:val="none" w:sz="0" w:space="0" w:color="auto"/>
                                    <w:right w:val="none" w:sz="0" w:space="0" w:color="auto"/>
                                  </w:divBdr>
                                </w:div>
                                <w:div w:id="999385748">
                                  <w:marLeft w:val="0"/>
                                  <w:marRight w:val="0"/>
                                  <w:marTop w:val="0"/>
                                  <w:marBottom w:val="0"/>
                                  <w:divBdr>
                                    <w:top w:val="none" w:sz="0" w:space="0" w:color="auto"/>
                                    <w:left w:val="none" w:sz="0" w:space="0" w:color="auto"/>
                                    <w:bottom w:val="none" w:sz="0" w:space="0" w:color="auto"/>
                                    <w:right w:val="none" w:sz="0" w:space="0" w:color="auto"/>
                                  </w:divBdr>
                                </w:div>
                                <w:div w:id="1393115305">
                                  <w:marLeft w:val="0"/>
                                  <w:marRight w:val="0"/>
                                  <w:marTop w:val="0"/>
                                  <w:marBottom w:val="0"/>
                                  <w:divBdr>
                                    <w:top w:val="none" w:sz="0" w:space="0" w:color="auto"/>
                                    <w:left w:val="none" w:sz="0" w:space="0" w:color="auto"/>
                                    <w:bottom w:val="none" w:sz="0" w:space="0" w:color="auto"/>
                                    <w:right w:val="none" w:sz="0" w:space="0" w:color="auto"/>
                                  </w:divBdr>
                                </w:div>
                                <w:div w:id="900675356">
                                  <w:marLeft w:val="0"/>
                                  <w:marRight w:val="0"/>
                                  <w:marTop w:val="0"/>
                                  <w:marBottom w:val="0"/>
                                  <w:divBdr>
                                    <w:top w:val="none" w:sz="0" w:space="0" w:color="auto"/>
                                    <w:left w:val="none" w:sz="0" w:space="0" w:color="auto"/>
                                    <w:bottom w:val="none" w:sz="0" w:space="0" w:color="auto"/>
                                    <w:right w:val="none" w:sz="0" w:space="0" w:color="auto"/>
                                  </w:divBdr>
                                </w:div>
                                <w:div w:id="1428574545">
                                  <w:marLeft w:val="0"/>
                                  <w:marRight w:val="0"/>
                                  <w:marTop w:val="0"/>
                                  <w:marBottom w:val="0"/>
                                  <w:divBdr>
                                    <w:top w:val="none" w:sz="0" w:space="0" w:color="auto"/>
                                    <w:left w:val="none" w:sz="0" w:space="0" w:color="auto"/>
                                    <w:bottom w:val="none" w:sz="0" w:space="0" w:color="auto"/>
                                    <w:right w:val="none" w:sz="0" w:space="0" w:color="auto"/>
                                  </w:divBdr>
                                </w:div>
                                <w:div w:id="696544768">
                                  <w:marLeft w:val="0"/>
                                  <w:marRight w:val="0"/>
                                  <w:marTop w:val="0"/>
                                  <w:marBottom w:val="0"/>
                                  <w:divBdr>
                                    <w:top w:val="none" w:sz="0" w:space="0" w:color="auto"/>
                                    <w:left w:val="none" w:sz="0" w:space="0" w:color="auto"/>
                                    <w:bottom w:val="none" w:sz="0" w:space="0" w:color="auto"/>
                                    <w:right w:val="none" w:sz="0" w:space="0" w:color="auto"/>
                                  </w:divBdr>
                                </w:div>
                                <w:div w:id="5132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7433">
      <w:bodyDiv w:val="1"/>
      <w:marLeft w:val="0"/>
      <w:marRight w:val="0"/>
      <w:marTop w:val="0"/>
      <w:marBottom w:val="0"/>
      <w:divBdr>
        <w:top w:val="none" w:sz="0" w:space="0" w:color="auto"/>
        <w:left w:val="none" w:sz="0" w:space="0" w:color="auto"/>
        <w:bottom w:val="none" w:sz="0" w:space="0" w:color="auto"/>
        <w:right w:val="none" w:sz="0" w:space="0" w:color="auto"/>
      </w:divBdr>
      <w:divsChild>
        <w:div w:id="230846896">
          <w:marLeft w:val="0"/>
          <w:marRight w:val="0"/>
          <w:marTop w:val="0"/>
          <w:marBottom w:val="0"/>
          <w:divBdr>
            <w:top w:val="none" w:sz="0" w:space="0" w:color="auto"/>
            <w:left w:val="none" w:sz="0" w:space="0" w:color="auto"/>
            <w:bottom w:val="none" w:sz="0" w:space="0" w:color="auto"/>
            <w:right w:val="none" w:sz="0" w:space="0" w:color="auto"/>
          </w:divBdr>
          <w:divsChild>
            <w:div w:id="527530169">
              <w:marLeft w:val="0"/>
              <w:marRight w:val="0"/>
              <w:marTop w:val="0"/>
              <w:marBottom w:val="0"/>
              <w:divBdr>
                <w:top w:val="none" w:sz="0" w:space="0" w:color="auto"/>
                <w:left w:val="none" w:sz="0" w:space="0" w:color="auto"/>
                <w:bottom w:val="none" w:sz="0" w:space="0" w:color="auto"/>
                <w:right w:val="none" w:sz="0" w:space="0" w:color="auto"/>
              </w:divBdr>
              <w:divsChild>
                <w:div w:id="142817308">
                  <w:marLeft w:val="0"/>
                  <w:marRight w:val="0"/>
                  <w:marTop w:val="0"/>
                  <w:marBottom w:val="0"/>
                  <w:divBdr>
                    <w:top w:val="none" w:sz="0" w:space="0" w:color="auto"/>
                    <w:left w:val="none" w:sz="0" w:space="0" w:color="auto"/>
                    <w:bottom w:val="none" w:sz="0" w:space="0" w:color="auto"/>
                    <w:right w:val="none" w:sz="0" w:space="0" w:color="auto"/>
                  </w:divBdr>
                  <w:divsChild>
                    <w:div w:id="1813599158">
                      <w:marLeft w:val="0"/>
                      <w:marRight w:val="0"/>
                      <w:marTop w:val="0"/>
                      <w:marBottom w:val="823"/>
                      <w:divBdr>
                        <w:top w:val="none" w:sz="0" w:space="0" w:color="auto"/>
                        <w:left w:val="none" w:sz="0" w:space="0" w:color="auto"/>
                        <w:bottom w:val="none" w:sz="0" w:space="0" w:color="auto"/>
                        <w:right w:val="none" w:sz="0" w:space="0" w:color="auto"/>
                      </w:divBdr>
                      <w:divsChild>
                        <w:div w:id="902329168">
                          <w:marLeft w:val="0"/>
                          <w:marRight w:val="0"/>
                          <w:marTop w:val="0"/>
                          <w:marBottom w:val="0"/>
                          <w:divBdr>
                            <w:top w:val="none" w:sz="0" w:space="0" w:color="auto"/>
                            <w:left w:val="none" w:sz="0" w:space="0" w:color="auto"/>
                            <w:bottom w:val="none" w:sz="0" w:space="0" w:color="auto"/>
                            <w:right w:val="none" w:sz="0" w:space="0" w:color="auto"/>
                          </w:divBdr>
                          <w:divsChild>
                            <w:div w:id="781266775">
                              <w:marLeft w:val="0"/>
                              <w:marRight w:val="0"/>
                              <w:marTop w:val="0"/>
                              <w:marBottom w:val="0"/>
                              <w:divBdr>
                                <w:top w:val="none" w:sz="0" w:space="0" w:color="auto"/>
                                <w:left w:val="none" w:sz="0" w:space="0" w:color="auto"/>
                                <w:bottom w:val="none" w:sz="0" w:space="0" w:color="auto"/>
                                <w:right w:val="none" w:sz="0" w:space="0" w:color="auto"/>
                              </w:divBdr>
                              <w:divsChild>
                                <w:div w:id="37710296">
                                  <w:marLeft w:val="0"/>
                                  <w:marRight w:val="0"/>
                                  <w:marTop w:val="0"/>
                                  <w:marBottom w:val="0"/>
                                  <w:divBdr>
                                    <w:top w:val="none" w:sz="0" w:space="0" w:color="auto"/>
                                    <w:left w:val="none" w:sz="0" w:space="0" w:color="auto"/>
                                    <w:bottom w:val="none" w:sz="0" w:space="0" w:color="auto"/>
                                    <w:right w:val="none" w:sz="0" w:space="0" w:color="auto"/>
                                  </w:divBdr>
                                </w:div>
                                <w:div w:id="497574269">
                                  <w:marLeft w:val="0"/>
                                  <w:marRight w:val="0"/>
                                  <w:marTop w:val="0"/>
                                  <w:marBottom w:val="0"/>
                                  <w:divBdr>
                                    <w:top w:val="none" w:sz="0" w:space="0" w:color="auto"/>
                                    <w:left w:val="none" w:sz="0" w:space="0" w:color="auto"/>
                                    <w:bottom w:val="none" w:sz="0" w:space="0" w:color="auto"/>
                                    <w:right w:val="none" w:sz="0" w:space="0" w:color="auto"/>
                                  </w:divBdr>
                                </w:div>
                                <w:div w:id="750929920">
                                  <w:marLeft w:val="0"/>
                                  <w:marRight w:val="0"/>
                                  <w:marTop w:val="0"/>
                                  <w:marBottom w:val="0"/>
                                  <w:divBdr>
                                    <w:top w:val="none" w:sz="0" w:space="0" w:color="auto"/>
                                    <w:left w:val="none" w:sz="0" w:space="0" w:color="auto"/>
                                    <w:bottom w:val="none" w:sz="0" w:space="0" w:color="auto"/>
                                    <w:right w:val="none" w:sz="0" w:space="0" w:color="auto"/>
                                  </w:divBdr>
                                </w:div>
                                <w:div w:id="1009867011">
                                  <w:marLeft w:val="0"/>
                                  <w:marRight w:val="0"/>
                                  <w:marTop w:val="0"/>
                                  <w:marBottom w:val="0"/>
                                  <w:divBdr>
                                    <w:top w:val="none" w:sz="0" w:space="0" w:color="auto"/>
                                    <w:left w:val="none" w:sz="0" w:space="0" w:color="auto"/>
                                    <w:bottom w:val="none" w:sz="0" w:space="0" w:color="auto"/>
                                    <w:right w:val="none" w:sz="0" w:space="0" w:color="auto"/>
                                  </w:divBdr>
                                </w:div>
                                <w:div w:id="1765375612">
                                  <w:marLeft w:val="0"/>
                                  <w:marRight w:val="0"/>
                                  <w:marTop w:val="0"/>
                                  <w:marBottom w:val="0"/>
                                  <w:divBdr>
                                    <w:top w:val="none" w:sz="0" w:space="0" w:color="auto"/>
                                    <w:left w:val="none" w:sz="0" w:space="0" w:color="auto"/>
                                    <w:bottom w:val="none" w:sz="0" w:space="0" w:color="auto"/>
                                    <w:right w:val="none" w:sz="0" w:space="0" w:color="auto"/>
                                  </w:divBdr>
                                </w:div>
                                <w:div w:id="178741943">
                                  <w:marLeft w:val="0"/>
                                  <w:marRight w:val="0"/>
                                  <w:marTop w:val="0"/>
                                  <w:marBottom w:val="0"/>
                                  <w:divBdr>
                                    <w:top w:val="none" w:sz="0" w:space="0" w:color="auto"/>
                                    <w:left w:val="none" w:sz="0" w:space="0" w:color="auto"/>
                                    <w:bottom w:val="none" w:sz="0" w:space="0" w:color="auto"/>
                                    <w:right w:val="none" w:sz="0" w:space="0" w:color="auto"/>
                                  </w:divBdr>
                                </w:div>
                                <w:div w:id="8238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066532">
      <w:bodyDiv w:val="1"/>
      <w:marLeft w:val="0"/>
      <w:marRight w:val="0"/>
      <w:marTop w:val="0"/>
      <w:marBottom w:val="0"/>
      <w:divBdr>
        <w:top w:val="none" w:sz="0" w:space="0" w:color="auto"/>
        <w:left w:val="none" w:sz="0" w:space="0" w:color="auto"/>
        <w:bottom w:val="none" w:sz="0" w:space="0" w:color="auto"/>
        <w:right w:val="none" w:sz="0" w:space="0" w:color="auto"/>
      </w:divBdr>
      <w:divsChild>
        <w:div w:id="1757551660">
          <w:marLeft w:val="94"/>
          <w:marRight w:val="0"/>
          <w:marTop w:val="0"/>
          <w:marBottom w:val="0"/>
          <w:divBdr>
            <w:top w:val="none" w:sz="0" w:space="0" w:color="auto"/>
            <w:left w:val="none" w:sz="0" w:space="0" w:color="auto"/>
            <w:bottom w:val="none" w:sz="0" w:space="0" w:color="auto"/>
            <w:right w:val="none" w:sz="0" w:space="0" w:color="auto"/>
          </w:divBdr>
          <w:divsChild>
            <w:div w:id="1932658414">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ed.fr/fichier/t_publication/1359/publi_pdf1_pop_soc445.pdf" TargetMode="External"/><Relationship Id="rId13" Type="http://schemas.openxmlformats.org/officeDocument/2006/relationships/image" Target="media/image3.png"/><Relationship Id="rId18" Type="http://schemas.openxmlformats.org/officeDocument/2006/relationships/hyperlink" Target="http://www.insee.fr/fr/ffc/ipweb/ip1473/ip1473.pdf" TargetMode="External"/><Relationship Id="rId26" Type="http://schemas.openxmlformats.org/officeDocument/2006/relationships/hyperlink" Target="http://www.cairn.info/zen.php?ID_ARTICLE=NQF_321_0016"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hyperlink" Target="http://ad.zanox.com/ppc/?17460495C2015230019T&amp;ULP=http://recherche.fnac.com/advanced/book.do?isbn=2110053232" TargetMode="External"/><Relationship Id="rId12" Type="http://schemas.openxmlformats.org/officeDocument/2006/relationships/hyperlink" Target="http://femmes.gouv.fr/wp-content/uploads/2012/07/Chiffres_cles_2010_egalite_hommes_femmes.pdf" TargetMode="External"/><Relationship Id="rId17" Type="http://schemas.openxmlformats.org/officeDocument/2006/relationships/image" Target="media/image5.png"/><Relationship Id="rId25" Type="http://schemas.openxmlformats.org/officeDocument/2006/relationships/hyperlink" Target="http://www.cairn.info/zen.php?ID_ARTICLE=APC_034_009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emmes.gouv.fr/wp-content/uploads/2012/07/Chiffres_cles_2010_egalite_hommes_femmes.pdf" TargetMode="External"/><Relationship Id="rId20" Type="http://schemas.openxmlformats.org/officeDocument/2006/relationships/hyperlink" Target="http://www.ined.fr/fichier/s_rubrique/19113/pop_soc445.fr.pdf" TargetMode="External"/><Relationship Id="rId29" Type="http://schemas.openxmlformats.org/officeDocument/2006/relationships/hyperlink" Target="http://www.fondation-maif.fr/pieces-jointes/rapport-final-delinquance.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24" Type="http://schemas.openxmlformats.org/officeDocument/2006/relationships/hyperlink" Target="http://www.insee.fr/fr/themes/document.asp?ref_id=ip1180&amp;reg_id=0" TargetMode="External"/><Relationship Id="rId32" Type="http://schemas.openxmlformats.org/officeDocument/2006/relationships/hyperlink" Target="http://www.justice.gouv.fr/art_pix/mensuelle_inTERnet_decembre_2012.pdf"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www.insee.fr/fr/themes/tableau.asp?reg_id=0&amp;ref_id=NATnon02145" TargetMode="External"/><Relationship Id="rId10" Type="http://schemas.openxmlformats.org/officeDocument/2006/relationships/hyperlink" Target="http://www.ladocumentationfrancaise.fr/catalogue/9782110084453/index.shtml" TargetMode="External"/><Relationship Id="rId19" Type="http://schemas.openxmlformats.org/officeDocument/2006/relationships/image" Target="media/image6.png"/><Relationship Id="rId31" Type="http://schemas.openxmlformats.org/officeDocument/2006/relationships/hyperlink" Target="http://www.justice.gouv.fr/art_pix/Stat_Conda_2012.pdf" TargetMode="External"/><Relationship Id="rId4" Type="http://schemas.openxmlformats.org/officeDocument/2006/relationships/settings" Target="settings.xml"/><Relationship Id="rId9" Type="http://schemas.openxmlformats.org/officeDocument/2006/relationships/hyperlink" Target="http://www.ined.fr/fichier/t_publication/1359/publi_pdf1_pop_soc445.pdf" TargetMode="External"/><Relationship Id="rId14" Type="http://schemas.openxmlformats.org/officeDocument/2006/relationships/hyperlink" Target="http://www.insee.fr/fr/themes/document.asp?ref_id=ip1180&amp;reg_id=0" TargetMode="External"/><Relationship Id="rId22" Type="http://schemas.openxmlformats.org/officeDocument/2006/relationships/hyperlink" Target="http://www.insee.fr/fr/ffc/ipweb/ip1473/ip1473.pdf" TargetMode="External"/><Relationship Id="rId27" Type="http://schemas.openxmlformats.org/officeDocument/2006/relationships/hyperlink" Target="http://www.justice.gouv.fr/art_pix/Stat_Conda_2012.pdf" TargetMode="External"/><Relationship Id="rId30" Type="http://schemas.openxmlformats.org/officeDocument/2006/relationships/hyperlink" Target="http://www.inhesj.fr/sites/default/files/files/ondrp_ra_2014/synthese_ra-2014-v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F806B-CBCE-409F-94E2-D8F24216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2880</Words>
  <Characters>15843</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nave-bek_c</dc:creator>
  <cp:lastModifiedBy>NAVE-BEKHTI</cp:lastModifiedBy>
  <cp:revision>5</cp:revision>
  <dcterms:created xsi:type="dcterms:W3CDTF">2015-06-29T17:21:00Z</dcterms:created>
  <dcterms:modified xsi:type="dcterms:W3CDTF">2015-07-02T18:56:00Z</dcterms:modified>
</cp:coreProperties>
</file>