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3" w:rsidRDefault="76D9113B" w:rsidP="76D9113B">
      <w:pPr>
        <w:pStyle w:val="Titre1"/>
      </w:pPr>
      <w:r w:rsidRPr="76D9113B">
        <w:t>Fiche n°1 : Dans un monde aux ressources limitées, comment faire des choix ?</w:t>
      </w:r>
    </w:p>
    <w:p w:rsidR="001E4A93" w:rsidRDefault="76D9113B" w:rsidP="76D9113B">
      <w:pPr>
        <w:pStyle w:val="Sous-titre"/>
      </w:pPr>
      <w:r w:rsidRPr="76D9113B">
        <w:t>Notions : utilité (marginale)</w:t>
      </w:r>
    </w:p>
    <w:p w:rsidR="001E4A93" w:rsidRDefault="76D9113B" w:rsidP="76D9113B">
      <w:pPr>
        <w:pStyle w:val="Titre2"/>
      </w:pPr>
      <w:r w:rsidRPr="76D9113B">
        <w:t>Utilité (marginale)</w:t>
      </w:r>
    </w:p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1E4A93" w:rsidTr="49DB1E8C">
        <w:tc>
          <w:tcPr>
            <w:tcW w:w="1809" w:type="dxa"/>
          </w:tcPr>
          <w:p w:rsidR="001E4A93" w:rsidRDefault="001E4A93" w:rsidP="002F7802">
            <w:r>
              <w:t>Caractériser</w:t>
            </w:r>
          </w:p>
        </w:tc>
        <w:tc>
          <w:tcPr>
            <w:tcW w:w="7403" w:type="dxa"/>
          </w:tcPr>
          <w:p w:rsidR="001E4A93" w:rsidRDefault="001E4A93" w:rsidP="002F7802">
            <w:pPr>
              <w:tabs>
                <w:tab w:val="left" w:pos="6007"/>
              </w:tabs>
            </w:pPr>
            <w:r>
              <w:t>Satisfaction qu’un individu retire d’une activité ou de la consommation d’un bien ou d’un service</w:t>
            </w:r>
          </w:p>
          <w:p w:rsidR="001E4A93" w:rsidRDefault="001E4A93" w:rsidP="002F7802">
            <w:pPr>
              <w:tabs>
                <w:tab w:val="left" w:pos="6007"/>
              </w:tabs>
            </w:pPr>
            <w:r>
              <w:t>Marginale : de la dernière unité consommée ou utilisée</w:t>
            </w:r>
          </w:p>
        </w:tc>
      </w:tr>
      <w:tr w:rsidR="001E4A93" w:rsidTr="49DB1E8C">
        <w:tc>
          <w:tcPr>
            <w:tcW w:w="1809" w:type="dxa"/>
          </w:tcPr>
          <w:p w:rsidR="001E4A93" w:rsidRDefault="001E4A93" w:rsidP="002F7802">
            <w:r>
              <w:t xml:space="preserve">Illustrer </w:t>
            </w:r>
          </w:p>
        </w:tc>
        <w:tc>
          <w:tcPr>
            <w:tcW w:w="7403" w:type="dxa"/>
          </w:tcPr>
          <w:p w:rsidR="001E4A93" w:rsidRDefault="001E4A93" w:rsidP="002F7802">
            <w:r>
              <w:t>Présenter des exemples dans lesquels l’utilité permet de faire des choix (étude/travail par exemple)</w:t>
            </w:r>
          </w:p>
          <w:p w:rsidR="001E4A93" w:rsidRDefault="001E4A93" w:rsidP="002F7802">
            <w:r>
              <w:t>Présenter des exemples montrant que l’utilité varie selon le contexte (verre d’eau dans le désert, en situation habituelle)</w:t>
            </w:r>
          </w:p>
        </w:tc>
      </w:tr>
      <w:tr w:rsidR="001E4A93" w:rsidTr="49DB1E8C">
        <w:tc>
          <w:tcPr>
            <w:tcW w:w="1809" w:type="dxa"/>
          </w:tcPr>
          <w:p w:rsidR="001E4A93" w:rsidRDefault="001E4A93" w:rsidP="002F7802">
            <w:r>
              <w:t>Distinguer de</w:t>
            </w:r>
          </w:p>
        </w:tc>
        <w:tc>
          <w:tcPr>
            <w:tcW w:w="7403" w:type="dxa"/>
          </w:tcPr>
          <w:p w:rsidR="001E4A93" w:rsidRDefault="49DB1E8C" w:rsidP="002F7802">
            <w:r>
              <w:t>Utilité totale / utilité marginale</w:t>
            </w:r>
          </w:p>
          <w:p w:rsidR="001E4A93" w:rsidRDefault="001E4A93" w:rsidP="002F7802">
            <w:r>
              <w:t>Coût d’opportunité</w:t>
            </w:r>
          </w:p>
        </w:tc>
      </w:tr>
      <w:tr w:rsidR="001E4A93" w:rsidTr="49DB1E8C">
        <w:tc>
          <w:tcPr>
            <w:tcW w:w="1809" w:type="dxa"/>
          </w:tcPr>
          <w:p w:rsidR="001E4A93" w:rsidRDefault="001E4A93" w:rsidP="002F7802">
            <w:r>
              <w:t>Préciser</w:t>
            </w:r>
          </w:p>
        </w:tc>
        <w:tc>
          <w:tcPr>
            <w:tcW w:w="7403" w:type="dxa"/>
          </w:tcPr>
          <w:p w:rsidR="001E4A93" w:rsidRDefault="001E4A93" w:rsidP="002F7802">
            <w:r>
              <w:t>Généralement, les économistes considèrent que l’utilité est décroissante en fonction des volumes consommés ou utilisés</w:t>
            </w:r>
          </w:p>
          <w:p w:rsidR="001E4A93" w:rsidRDefault="001E4A93" w:rsidP="002F7802">
            <w:r>
              <w:t>Mesurer l’utilité implique de considérer aussi la désutilité sous forme de coût direct ou de coût d’opportunité</w:t>
            </w:r>
          </w:p>
        </w:tc>
      </w:tr>
      <w:tr w:rsidR="001E4A93" w:rsidTr="49DB1E8C">
        <w:tc>
          <w:tcPr>
            <w:tcW w:w="1809" w:type="dxa"/>
          </w:tcPr>
          <w:p w:rsidR="001E4A93" w:rsidRDefault="001E4A93" w:rsidP="002F7802">
            <w:r>
              <w:t>Savoir utiliser</w:t>
            </w:r>
          </w:p>
        </w:tc>
        <w:tc>
          <w:tcPr>
            <w:tcW w:w="7403" w:type="dxa"/>
          </w:tcPr>
          <w:p w:rsidR="001E4A93" w:rsidRDefault="001E4A93" w:rsidP="002F7802">
            <w:r>
              <w:t>Mobiliser la notion pour expliquer le processus de choix individuels et collectifs : l’utilité permet à l’individu de choisir entre plusieurs paniers de biens accessibles selon ses préférences subjectives</w:t>
            </w:r>
          </w:p>
          <w:p w:rsidR="001E4A93" w:rsidRDefault="001E4A93" w:rsidP="002F7802">
            <w:r>
              <w:t>Lier aux formes de la courbe de demande</w:t>
            </w:r>
          </w:p>
          <w:p w:rsidR="001E4A93" w:rsidRDefault="49DB1E8C" w:rsidP="002F7802">
            <w:r>
              <w:t>Lier à la notion d’élasticité</w:t>
            </w:r>
          </w:p>
          <w:p w:rsidR="001E4A93" w:rsidRDefault="49DB1E8C" w:rsidP="49DB1E8C">
            <w:r>
              <w:t>Lier aux notions de prix et de coûts de production</w:t>
            </w:r>
          </w:p>
          <w:p w:rsidR="001E4A93" w:rsidRDefault="49DB1E8C" w:rsidP="49DB1E8C">
            <w:r>
              <w:t>Lier à la notion de modèle (raisonnement à la marge)</w:t>
            </w:r>
          </w:p>
        </w:tc>
      </w:tr>
    </w:tbl>
    <w:p w:rsidR="49DB1E8C" w:rsidRDefault="49DB1E8C" w:rsidP="49DB1E8C"/>
    <w:p w:rsidR="49DB1E8C" w:rsidRDefault="49DB1E8C" w:rsidP="49DB1E8C">
      <w:r>
        <w:t>Proposition d'activité pour travailler sur cette notion (les éléments en italique sont des indications à destination du professeur).</w:t>
      </w:r>
    </w:p>
    <w:p w:rsidR="004C7935" w:rsidRPr="00475F86" w:rsidRDefault="004C7935" w:rsidP="001E4A93">
      <w:pPr>
        <w:rPr>
          <w:b/>
        </w:rPr>
      </w:pPr>
      <w:proofErr w:type="spellStart"/>
      <w:r w:rsidRPr="00475F86">
        <w:rPr>
          <w:b/>
        </w:rPr>
        <w:t>Etape</w:t>
      </w:r>
      <w:proofErr w:type="spellEnd"/>
      <w:r w:rsidRPr="00475F86">
        <w:rPr>
          <w:b/>
        </w:rPr>
        <w:t xml:space="preserve"> 1 : </w:t>
      </w:r>
    </w:p>
    <w:p w:rsidR="001E4A93" w:rsidRDefault="001E4A93" w:rsidP="001E4A93">
      <w:r>
        <w:t xml:space="preserve">Question individuelle : </w:t>
      </w:r>
    </w:p>
    <w:p w:rsidR="001E4A93" w:rsidRDefault="001E4A93" w:rsidP="001E4A93">
      <w:pPr>
        <w:pStyle w:val="Paragraphedeliste"/>
        <w:numPr>
          <w:ilvl w:val="0"/>
          <w:numId w:val="2"/>
        </w:numPr>
      </w:pPr>
      <w:r>
        <w:t xml:space="preserve">Envisagez-vous de faire des études courtes ou des études longues après le baccalauréat ? </w:t>
      </w:r>
    </w:p>
    <w:p w:rsidR="006D39EE" w:rsidRDefault="001E4A93" w:rsidP="006D39EE">
      <w:pPr>
        <w:pStyle w:val="Paragraphedeliste"/>
        <w:numPr>
          <w:ilvl w:val="0"/>
          <w:numId w:val="2"/>
        </w:numPr>
        <w:tabs>
          <w:tab w:val="left" w:pos="6007"/>
        </w:tabs>
      </w:pPr>
      <w:r>
        <w:t>Pourquoi ?</w:t>
      </w:r>
      <w:r w:rsidR="006D39EE" w:rsidRPr="006D39EE">
        <w:t xml:space="preserve"> </w:t>
      </w:r>
    </w:p>
    <w:p w:rsidR="006D39EE" w:rsidRDefault="009820BD" w:rsidP="006D39EE">
      <w:pPr>
        <w:pStyle w:val="Paragraphedeliste"/>
        <w:numPr>
          <w:ilvl w:val="0"/>
          <w:numId w:val="2"/>
        </w:numPr>
        <w:tabs>
          <w:tab w:val="left" w:pos="6007"/>
        </w:tabs>
      </w:pPr>
      <w:r>
        <w:t>En mobilisant votre imagination, q</w:t>
      </w:r>
      <w:r w:rsidR="006D39EE">
        <w:t xml:space="preserve">u’est-ce qui </w:t>
      </w:r>
      <w:r>
        <w:t>pourrait-</w:t>
      </w:r>
      <w:r w:rsidR="006D39EE">
        <w:t>vous faire changer d’avis ?</w:t>
      </w:r>
    </w:p>
    <w:p w:rsidR="004C7935" w:rsidRPr="00475F86" w:rsidRDefault="004C7935" w:rsidP="004C7935">
      <w:pPr>
        <w:rPr>
          <w:b/>
        </w:rPr>
      </w:pPr>
      <w:proofErr w:type="spellStart"/>
      <w:r w:rsidRPr="00475F86">
        <w:rPr>
          <w:b/>
        </w:rPr>
        <w:t>Etape</w:t>
      </w:r>
      <w:proofErr w:type="spellEnd"/>
      <w:r w:rsidRPr="00475F86">
        <w:rPr>
          <w:b/>
        </w:rPr>
        <w:t xml:space="preserve"> 2 : Synthèse de groupe</w:t>
      </w:r>
      <w:r w:rsidR="0064265B" w:rsidRPr="00475F86">
        <w:rPr>
          <w:b/>
        </w:rPr>
        <w:t>s</w:t>
      </w:r>
      <w:r w:rsidRPr="00475F86">
        <w:rPr>
          <w:b/>
        </w:rPr>
        <w:t xml:space="preserve"> </w:t>
      </w:r>
    </w:p>
    <w:p w:rsidR="004C7935" w:rsidRDefault="49DB1E8C" w:rsidP="004C7935">
      <w:pPr>
        <w:pStyle w:val="Paragraphedeliste"/>
        <w:numPr>
          <w:ilvl w:val="0"/>
          <w:numId w:val="4"/>
        </w:numPr>
      </w:pPr>
      <w:r>
        <w:t>Listez les arguments avancés dans votre groupe dans le tableau suivant </w:t>
      </w:r>
      <w:r w:rsidRPr="49DB1E8C">
        <w:rPr>
          <w:i/>
          <w:iCs/>
        </w:rPr>
        <w:t>(Les groupes vont afficher après débat leurs arguments au tableau)</w:t>
      </w:r>
      <w:r>
        <w:t>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470"/>
        <w:gridCol w:w="4458"/>
      </w:tblGrid>
      <w:tr w:rsidR="00D12A13" w:rsidTr="006D39EE">
        <w:tc>
          <w:tcPr>
            <w:tcW w:w="4606" w:type="dxa"/>
          </w:tcPr>
          <w:p w:rsidR="00D12A13" w:rsidRDefault="00D12A13" w:rsidP="00D12A13">
            <w:proofErr w:type="gramStart"/>
            <w:r>
              <w:t>Avantages</w:t>
            </w:r>
            <w:proofErr w:type="gramEnd"/>
            <w:r>
              <w:t xml:space="preserve"> des études courtes</w:t>
            </w:r>
          </w:p>
        </w:tc>
        <w:tc>
          <w:tcPr>
            <w:tcW w:w="4606" w:type="dxa"/>
          </w:tcPr>
          <w:p w:rsidR="00D12A13" w:rsidRDefault="00D12A13" w:rsidP="00D12A13">
            <w:r>
              <w:t>Coûts des études courtes</w:t>
            </w:r>
          </w:p>
        </w:tc>
      </w:tr>
      <w:tr w:rsidR="00D12A13" w:rsidTr="006D39EE">
        <w:tc>
          <w:tcPr>
            <w:tcW w:w="4606" w:type="dxa"/>
          </w:tcPr>
          <w:p w:rsidR="00D12A13" w:rsidRDefault="00D12A13" w:rsidP="00D12A13"/>
        </w:tc>
        <w:tc>
          <w:tcPr>
            <w:tcW w:w="4606" w:type="dxa"/>
          </w:tcPr>
          <w:p w:rsidR="00D12A13" w:rsidRDefault="00D12A13" w:rsidP="00D12A13"/>
        </w:tc>
      </w:tr>
    </w:tbl>
    <w:p w:rsidR="0064265B" w:rsidRDefault="00475F86" w:rsidP="006D39EE">
      <w:pPr>
        <w:pStyle w:val="Paragraphedeliste"/>
        <w:numPr>
          <w:ilvl w:val="0"/>
          <w:numId w:val="4"/>
        </w:numPr>
        <w:tabs>
          <w:tab w:val="left" w:pos="6007"/>
        </w:tabs>
      </w:pPr>
      <w:r>
        <w:t>Comment prendre la décision sur la base de ce tableau ?</w:t>
      </w:r>
    </w:p>
    <w:p w:rsidR="00475F86" w:rsidRPr="00475F86" w:rsidRDefault="00475F86" w:rsidP="00475F86">
      <w:pPr>
        <w:pStyle w:val="Paragraphedeliste"/>
        <w:numPr>
          <w:ilvl w:val="0"/>
          <w:numId w:val="7"/>
        </w:numPr>
        <w:tabs>
          <w:tab w:val="left" w:pos="6007"/>
        </w:tabs>
        <w:rPr>
          <w:i/>
          <w:sz w:val="20"/>
          <w:szCs w:val="20"/>
        </w:rPr>
      </w:pPr>
      <w:r w:rsidRPr="00475F86">
        <w:rPr>
          <w:i/>
          <w:sz w:val="20"/>
          <w:szCs w:val="20"/>
        </w:rPr>
        <w:t>Quel</w:t>
      </w:r>
      <w:r>
        <w:rPr>
          <w:i/>
          <w:sz w:val="20"/>
          <w:szCs w:val="20"/>
        </w:rPr>
        <w:t>le</w:t>
      </w:r>
      <w:r w:rsidRPr="00475F86">
        <w:rPr>
          <w:i/>
          <w:sz w:val="20"/>
          <w:szCs w:val="20"/>
        </w:rPr>
        <w:t xml:space="preserve"> procédure (pondération ?) ?</w:t>
      </w:r>
    </w:p>
    <w:p w:rsidR="00475F86" w:rsidRPr="00475F86" w:rsidRDefault="00475F86" w:rsidP="00475F86">
      <w:pPr>
        <w:pStyle w:val="Paragraphedeliste"/>
        <w:numPr>
          <w:ilvl w:val="0"/>
          <w:numId w:val="7"/>
        </w:numPr>
        <w:tabs>
          <w:tab w:val="left" w:pos="6007"/>
        </w:tabs>
        <w:rPr>
          <w:i/>
          <w:sz w:val="20"/>
          <w:szCs w:val="20"/>
        </w:rPr>
      </w:pPr>
      <w:r w:rsidRPr="00475F86">
        <w:rPr>
          <w:i/>
          <w:sz w:val="20"/>
          <w:szCs w:val="20"/>
        </w:rPr>
        <w:t>Avantages &gt; Coûts</w:t>
      </w:r>
    </w:p>
    <w:p w:rsidR="009820BD" w:rsidRDefault="00475F86" w:rsidP="009820BD">
      <w:pPr>
        <w:pStyle w:val="Paragraphedeliste"/>
        <w:numPr>
          <w:ilvl w:val="0"/>
          <w:numId w:val="7"/>
        </w:numPr>
        <w:tabs>
          <w:tab w:val="left" w:pos="600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Informations supplémentaires nécessaires pour réduire l’incertitude.</w:t>
      </w:r>
    </w:p>
    <w:p w:rsidR="001D11EF" w:rsidRDefault="49DB1E8C" w:rsidP="006D39EE">
      <w:pPr>
        <w:pStyle w:val="Paragraphedeliste"/>
        <w:numPr>
          <w:ilvl w:val="0"/>
          <w:numId w:val="4"/>
        </w:numPr>
        <w:tabs>
          <w:tab w:val="left" w:pos="6007"/>
        </w:tabs>
      </w:pPr>
      <w:r>
        <w:t>Deux élèves de la classe qui prennent la décision sur la base des mêmes arguments vont-ils forcément faire le même choix ? Pourquoi ?</w:t>
      </w:r>
    </w:p>
    <w:p w:rsidR="006D39EE" w:rsidRDefault="009820BD" w:rsidP="006D39EE">
      <w:pPr>
        <w:pStyle w:val="Paragraphedeliste"/>
        <w:numPr>
          <w:ilvl w:val="0"/>
          <w:numId w:val="4"/>
        </w:numPr>
        <w:tabs>
          <w:tab w:val="left" w:pos="6007"/>
        </w:tabs>
      </w:pPr>
      <w:proofErr w:type="spellStart"/>
      <w:r>
        <w:t>Yago</w:t>
      </w:r>
      <w:proofErr w:type="spellEnd"/>
      <w:r>
        <w:t xml:space="preserve"> choisit de faire des études courtes. Que pourrait-il regretter en faisant ce choix ?</w:t>
      </w:r>
    </w:p>
    <w:p w:rsidR="009820BD" w:rsidRPr="001D11EF" w:rsidRDefault="009820BD" w:rsidP="009820BD">
      <w:pPr>
        <w:pStyle w:val="Paragraphedeliste"/>
        <w:tabs>
          <w:tab w:val="left" w:pos="6007"/>
        </w:tabs>
      </w:pPr>
    </w:p>
    <w:p w:rsidR="009820BD" w:rsidRPr="001D11EF" w:rsidRDefault="49DB1E8C" w:rsidP="009820BD">
      <w:pPr>
        <w:pStyle w:val="Paragraphedeliste"/>
        <w:tabs>
          <w:tab w:val="left" w:pos="6007"/>
        </w:tabs>
        <w:rPr>
          <w:i/>
        </w:rPr>
      </w:pPr>
      <w:r w:rsidRPr="49DB1E8C">
        <w:rPr>
          <w:i/>
          <w:iCs/>
        </w:rPr>
        <w:t xml:space="preserve">Correction : Séparer dans les réponses celles qui relèvent du coût direct (des études courtes) et du coût d’opportunité (bénéfice des études longues auquel il a renoncé) </w:t>
      </w:r>
    </w:p>
    <w:p w:rsidR="004C7935" w:rsidRPr="00475F86" w:rsidRDefault="004C7935" w:rsidP="00475F86">
      <w:pPr>
        <w:tabs>
          <w:tab w:val="left" w:pos="6007"/>
        </w:tabs>
        <w:rPr>
          <w:b/>
        </w:rPr>
      </w:pPr>
      <w:proofErr w:type="spellStart"/>
      <w:r w:rsidRPr="00475F86">
        <w:rPr>
          <w:b/>
        </w:rPr>
        <w:t>Etape</w:t>
      </w:r>
      <w:proofErr w:type="spellEnd"/>
      <w:r w:rsidRPr="00475F86">
        <w:rPr>
          <w:b/>
        </w:rPr>
        <w:t xml:space="preserve"> 3 : Introduction des concepts d’utilité, coûts d’opportunité, contrainte budgétaire</w:t>
      </w:r>
      <w:r w:rsidR="00D12A13" w:rsidRPr="00475F86">
        <w:rPr>
          <w:b/>
        </w:rPr>
        <w:t>.</w:t>
      </w:r>
    </w:p>
    <w:p w:rsidR="00C173AD" w:rsidRDefault="00C173AD" w:rsidP="0064265B">
      <w:pPr>
        <w:tabs>
          <w:tab w:val="left" w:pos="6007"/>
        </w:tabs>
      </w:pPr>
      <w:r>
        <w:t>Choix (au sens économique) : Décision entre plusieurs possibilités identifiées, prise sous contrainte de rareté, et qui implique des renoncements.</w:t>
      </w:r>
    </w:p>
    <w:p w:rsidR="00C173AD" w:rsidRDefault="00C173AD" w:rsidP="00C173AD">
      <w:pPr>
        <w:pStyle w:val="Paragraphedeliste"/>
        <w:numPr>
          <w:ilvl w:val="0"/>
          <w:numId w:val="10"/>
        </w:numPr>
        <w:tabs>
          <w:tab w:val="left" w:pos="6007"/>
        </w:tabs>
      </w:pPr>
      <w:r>
        <w:t xml:space="preserve">Contrainte temporelle </w:t>
      </w:r>
    </w:p>
    <w:tbl>
      <w:tblPr>
        <w:tblStyle w:val="Grilledutableau"/>
        <w:tblW w:w="0" w:type="auto"/>
        <w:tblLook w:val="04A0"/>
      </w:tblPr>
      <w:tblGrid>
        <w:gridCol w:w="1478"/>
        <w:gridCol w:w="2092"/>
        <w:gridCol w:w="1888"/>
        <w:gridCol w:w="1811"/>
        <w:gridCol w:w="2019"/>
      </w:tblGrid>
      <w:tr w:rsidR="00400FD6" w:rsidTr="00400FD6">
        <w:tc>
          <w:tcPr>
            <w:tcW w:w="2303" w:type="dxa"/>
            <w:vMerge w:val="restart"/>
          </w:tcPr>
          <w:p w:rsidR="00400FD6" w:rsidRDefault="00400FD6" w:rsidP="0064265B">
            <w:pPr>
              <w:tabs>
                <w:tab w:val="left" w:pos="6007"/>
              </w:tabs>
            </w:pP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  <w:r>
              <w:t>Plusieurs possibilités</w:t>
            </w: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  <w:r>
              <w:t>Contrainte de rareté</w:t>
            </w: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  <w:r>
              <w:t>Décision</w:t>
            </w: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  <w:r>
              <w:t>Renoncement</w:t>
            </w:r>
          </w:p>
        </w:tc>
      </w:tr>
      <w:tr w:rsidR="00400FD6" w:rsidTr="00400FD6">
        <w:tc>
          <w:tcPr>
            <w:tcW w:w="2303" w:type="dxa"/>
            <w:vMerge/>
          </w:tcPr>
          <w:p w:rsidR="00400FD6" w:rsidRDefault="00400FD6" w:rsidP="0064265B">
            <w:pPr>
              <w:tabs>
                <w:tab w:val="left" w:pos="6007"/>
              </w:tabs>
            </w:pP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  <w:proofErr w:type="spellStart"/>
            <w:r>
              <w:t>Etudes</w:t>
            </w:r>
            <w:proofErr w:type="spellEnd"/>
            <w:r>
              <w:t xml:space="preserve"> courtes/longues</w:t>
            </w:r>
          </w:p>
        </w:tc>
        <w:tc>
          <w:tcPr>
            <w:tcW w:w="2303" w:type="dxa"/>
          </w:tcPr>
          <w:p w:rsidR="00400FD6" w:rsidRPr="00400FD6" w:rsidRDefault="00400FD6" w:rsidP="0064265B">
            <w:pPr>
              <w:tabs>
                <w:tab w:val="left" w:pos="6007"/>
              </w:tabs>
              <w:rPr>
                <w:i/>
              </w:rPr>
            </w:pPr>
            <w:r w:rsidRPr="00400FD6">
              <w:rPr>
                <w:i/>
              </w:rPr>
              <w:t>Contrainte temporelle</w:t>
            </w:r>
          </w:p>
          <w:p w:rsidR="00400FD6" w:rsidRPr="00400FD6" w:rsidRDefault="00400FD6" w:rsidP="0064265B">
            <w:pPr>
              <w:tabs>
                <w:tab w:val="left" w:pos="6007"/>
              </w:tabs>
              <w:rPr>
                <w:i/>
              </w:rPr>
            </w:pPr>
            <w:r w:rsidRPr="00400FD6">
              <w:rPr>
                <w:i/>
              </w:rPr>
              <w:t>Contrainte budgétaire</w:t>
            </w:r>
          </w:p>
          <w:p w:rsidR="00400FD6" w:rsidRPr="00400FD6" w:rsidRDefault="00400FD6" w:rsidP="0064265B">
            <w:pPr>
              <w:tabs>
                <w:tab w:val="left" w:pos="6007"/>
              </w:tabs>
              <w:rPr>
                <w:i/>
              </w:rPr>
            </w:pPr>
          </w:p>
        </w:tc>
        <w:tc>
          <w:tcPr>
            <w:tcW w:w="2303" w:type="dxa"/>
          </w:tcPr>
          <w:p w:rsidR="00400FD6" w:rsidRPr="00400FD6" w:rsidRDefault="00400FD6" w:rsidP="0064265B">
            <w:pPr>
              <w:tabs>
                <w:tab w:val="left" w:pos="6007"/>
              </w:tabs>
              <w:rPr>
                <w:i/>
              </w:rPr>
            </w:pPr>
            <w:proofErr w:type="spellStart"/>
            <w:r w:rsidRPr="00400FD6">
              <w:rPr>
                <w:i/>
              </w:rPr>
              <w:t>Etudes</w:t>
            </w:r>
            <w:proofErr w:type="spellEnd"/>
            <w:r w:rsidRPr="00400FD6">
              <w:rPr>
                <w:i/>
              </w:rPr>
              <w:t xml:space="preserve"> courtes</w:t>
            </w:r>
          </w:p>
        </w:tc>
        <w:tc>
          <w:tcPr>
            <w:tcW w:w="2303" w:type="dxa"/>
          </w:tcPr>
          <w:p w:rsidR="00400FD6" w:rsidRPr="00400FD6" w:rsidRDefault="00400FD6" w:rsidP="0064265B">
            <w:pPr>
              <w:tabs>
                <w:tab w:val="left" w:pos="6007"/>
              </w:tabs>
              <w:rPr>
                <w:i/>
              </w:rPr>
            </w:pPr>
          </w:p>
        </w:tc>
      </w:tr>
      <w:tr w:rsidR="00400FD6" w:rsidTr="00400FD6">
        <w:tc>
          <w:tcPr>
            <w:tcW w:w="2303" w:type="dxa"/>
            <w:vMerge/>
          </w:tcPr>
          <w:p w:rsidR="00400FD6" w:rsidRDefault="00400FD6" w:rsidP="0064265B">
            <w:pPr>
              <w:tabs>
                <w:tab w:val="left" w:pos="6007"/>
              </w:tabs>
            </w:pP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</w:p>
        </w:tc>
        <w:tc>
          <w:tcPr>
            <w:tcW w:w="2303" w:type="dxa"/>
          </w:tcPr>
          <w:p w:rsidR="00400FD6" w:rsidRDefault="00400FD6" w:rsidP="0064265B">
            <w:pPr>
              <w:tabs>
                <w:tab w:val="left" w:pos="6007"/>
              </w:tabs>
            </w:pPr>
          </w:p>
        </w:tc>
      </w:tr>
    </w:tbl>
    <w:p w:rsidR="00C173AD" w:rsidRDefault="00C173AD" w:rsidP="0064265B">
      <w:pPr>
        <w:tabs>
          <w:tab w:val="left" w:pos="6007"/>
        </w:tabs>
      </w:pPr>
    </w:p>
    <w:p w:rsidR="00C173AD" w:rsidRDefault="00C173AD" w:rsidP="0064265B">
      <w:pPr>
        <w:tabs>
          <w:tab w:val="left" w:pos="6007"/>
        </w:tabs>
      </w:pPr>
    </w:p>
    <w:p w:rsidR="00C173AD" w:rsidRDefault="00C173AD" w:rsidP="0064265B">
      <w:pPr>
        <w:tabs>
          <w:tab w:val="left" w:pos="6007"/>
        </w:tabs>
      </w:pPr>
    </w:p>
    <w:p w:rsidR="00C173AD" w:rsidRDefault="00C173AD" w:rsidP="0064265B">
      <w:pPr>
        <w:tabs>
          <w:tab w:val="left" w:pos="6007"/>
        </w:tabs>
      </w:pPr>
    </w:p>
    <w:p w:rsidR="0064265B" w:rsidRDefault="0064265B" w:rsidP="0064265B">
      <w:pPr>
        <w:tabs>
          <w:tab w:val="left" w:pos="6007"/>
        </w:tabs>
      </w:pPr>
      <w:r>
        <w:t>Utilité :</w:t>
      </w:r>
      <w:r w:rsidRPr="0064265B">
        <w:t xml:space="preserve"> </w:t>
      </w:r>
      <w:r>
        <w:t>Satisfaction qu’un individu retire d’une activité ou de la consommation d’un bien ou d’un service.</w:t>
      </w:r>
    </w:p>
    <w:p w:rsidR="00F30C14" w:rsidRDefault="00F30C14" w:rsidP="00F30C14"/>
    <w:p w:rsidR="00FE2DB8" w:rsidRDefault="00FE2DB8" w:rsidP="00F30C14"/>
    <w:p w:rsidR="00FE2DB8" w:rsidRDefault="00FE2DB8" w:rsidP="00F30C14"/>
    <w:p w:rsidR="0064265B" w:rsidRDefault="00F30C14" w:rsidP="00975C9F">
      <w:r>
        <w:t>Coût d’opportunité :</w:t>
      </w:r>
      <w:r w:rsidR="00975C9F">
        <w:t xml:space="preserve"> c</w:t>
      </w:r>
      <w:r>
        <w:t>oût du renoncement à l’usage d’une ressource</w:t>
      </w:r>
      <w:r w:rsidR="00975C9F">
        <w:t>, u</w:t>
      </w:r>
      <w:r>
        <w:t>tilité à laquelle on renonce</w:t>
      </w:r>
    </w:p>
    <w:p w:rsidR="00D12A13" w:rsidRDefault="00975C9F" w:rsidP="004C7935">
      <w:r>
        <w:t>Coût indirect qui découle d’un choix,</w:t>
      </w:r>
    </w:p>
    <w:p w:rsidR="0064265B" w:rsidRDefault="0064265B" w:rsidP="004C7935"/>
    <w:p w:rsidR="0064265B" w:rsidRDefault="0064265B" w:rsidP="004C7935"/>
    <w:p w:rsidR="004C7935" w:rsidRDefault="004C7935" w:rsidP="004C7935">
      <w:proofErr w:type="spellStart"/>
      <w:r>
        <w:t>Etape</w:t>
      </w:r>
      <w:proofErr w:type="spellEnd"/>
      <w:r>
        <w:t xml:space="preserve"> 4 : Autre exemple.</w:t>
      </w:r>
    </w:p>
    <w:p w:rsidR="004C7935" w:rsidRDefault="004C7935" w:rsidP="004C7935">
      <w:proofErr w:type="spellStart"/>
      <w:r>
        <w:t>Etape</w:t>
      </w:r>
      <w:proofErr w:type="spellEnd"/>
      <w:r>
        <w:t xml:space="preserve"> 5 : Utilité marginale. (</w:t>
      </w:r>
      <w:proofErr w:type="gramStart"/>
      <w:r>
        <w:t>année</w:t>
      </w:r>
      <w:proofErr w:type="gramEnd"/>
      <w:r>
        <w:t xml:space="preserve"> en plus)</w:t>
      </w:r>
    </w:p>
    <w:p w:rsidR="004C7935" w:rsidRDefault="004C7935" w:rsidP="004C7935">
      <w:r>
        <w:t xml:space="preserve"> </w:t>
      </w:r>
    </w:p>
    <w:p w:rsidR="004C7935" w:rsidRDefault="004C7935" w:rsidP="004C7935"/>
    <w:p w:rsidR="001E4A93" w:rsidRDefault="001E4A93" w:rsidP="001E4A93">
      <w:pPr>
        <w:pStyle w:val="Paragraphedeliste"/>
      </w:pPr>
    </w:p>
    <w:p w:rsidR="001E4A93" w:rsidRDefault="001E4A93" w:rsidP="001E4A93"/>
    <w:p w:rsidR="001E4A93" w:rsidRDefault="001E4A93" w:rsidP="001E4A93"/>
    <w:p w:rsidR="001E4A93" w:rsidRDefault="001E4A93" w:rsidP="001E4A93">
      <w:r>
        <w:t xml:space="preserve">Autres activités possibles sur des arbitrages : études ou travail et demander aux élèves d’évaluer l’utilité qu’ils associent à chacun des choix, choix entre filières du bac (ES, L, S, STMG) et envisager présentation de ce travail aux élèves de seconde, études courtes / études longues, fac/BTS/DUT/Prépa. Comment choisir son option de spécialité en terminale (SSP / EA / maths). Arbitrage </w:t>
      </w:r>
      <w:proofErr w:type="spellStart"/>
      <w:r>
        <w:t>intertemporel</w:t>
      </w:r>
      <w:proofErr w:type="spellEnd"/>
      <w:r>
        <w:t>, anticipations. Prospectif / rétrospectif. Envisager un exemple qui mène à une situation du type dilemme du prisonnier. Interprétation du paradoxe d’Anderson. Choix de transport pour venir au lycée, choix de trajet.</w:t>
      </w:r>
    </w:p>
    <w:p w:rsidR="001E4A93" w:rsidRDefault="001E4A93" w:rsidP="001E4A93">
      <w:r>
        <w:t xml:space="preserve">Lien avec </w:t>
      </w:r>
      <w:proofErr w:type="spellStart"/>
      <w:r>
        <w:t>Hirschman</w:t>
      </w:r>
      <w:proofErr w:type="spellEnd"/>
      <w:r>
        <w:t xml:space="preserve">, </w:t>
      </w:r>
      <w:r w:rsidRPr="003637F6">
        <w:rPr>
          <w:i/>
        </w:rPr>
        <w:t>Bonheur privé, action publique</w:t>
      </w:r>
      <w:r>
        <w:t>, Fayard (</w:t>
      </w:r>
      <w:hyperlink r:id="rId5" w:history="1">
        <w:r w:rsidRPr="00EF4E38">
          <w:rPr>
            <w:rStyle w:val="Lienhypertexte"/>
          </w:rPr>
          <w:t>http://www.fayard.fr/bonheur-prive-action-publique-9782818503690</w:t>
        </w:r>
      </w:hyperlink>
      <w:r>
        <w:t xml:space="preserve">), Agnès Van </w:t>
      </w:r>
      <w:proofErr w:type="spellStart"/>
      <w:r>
        <w:t>Zanten</w:t>
      </w:r>
      <w:proofErr w:type="spellEnd"/>
      <w:r>
        <w:t xml:space="preserve">, </w:t>
      </w:r>
      <w:r w:rsidRPr="00745C15">
        <w:rPr>
          <w:i/>
        </w:rPr>
        <w:t>Choisir son école, stratégies familiales et médiations locales</w:t>
      </w:r>
      <w:r>
        <w:t>, PUF (</w:t>
      </w:r>
      <w:hyperlink r:id="rId6" w:history="1">
        <w:r w:rsidRPr="00EF4E38">
          <w:rPr>
            <w:rStyle w:val="Lienhypertexte"/>
          </w:rPr>
          <w:t>http://rfp.revues.org/2785</w:t>
        </w:r>
      </w:hyperlink>
      <w:r>
        <w:t xml:space="preserve">), </w:t>
      </w:r>
      <w:proofErr w:type="spellStart"/>
      <w:r>
        <w:t>Ivar</w:t>
      </w:r>
      <w:proofErr w:type="spellEnd"/>
      <w:r>
        <w:t xml:space="preserve"> </w:t>
      </w:r>
      <w:proofErr w:type="spellStart"/>
      <w:r>
        <w:t>Ekeland</w:t>
      </w:r>
      <w:proofErr w:type="spellEnd"/>
      <w:r>
        <w:t>, à préciser.</w:t>
      </w:r>
    </w:p>
    <w:p w:rsidR="001E4A93" w:rsidRDefault="001E4A93" w:rsidP="001E4A93">
      <w:r>
        <w:t xml:space="preserve">Reprendre l'article sur l'évaluation des gains en termes de revenus de l’allongement de la durée des études dans </w:t>
      </w:r>
      <w:proofErr w:type="spellStart"/>
      <w:r>
        <w:t>Askenazy</w:t>
      </w:r>
      <w:proofErr w:type="spellEnd"/>
      <w:r>
        <w:t xml:space="preserve">, Cohen, </w:t>
      </w:r>
      <w:r w:rsidRPr="49DB1E8C">
        <w:rPr>
          <w:i/>
          <w:iCs/>
        </w:rPr>
        <w:t>16 nouvelles questions d’économie contemporaine</w:t>
      </w:r>
      <w:r>
        <w:t>, 2010.</w:t>
      </w:r>
    </w:p>
    <w:p w:rsidR="001E4A93" w:rsidRDefault="001E4A93" w:rsidP="001E4A93">
      <w:r>
        <w:t>A lier au travail sur les notions suivantes : coût d’opportunité, choix individuels / choix collectifs.</w:t>
      </w:r>
    </w:p>
    <w:p w:rsidR="005451D3" w:rsidRDefault="005451D3"/>
    <w:sectPr w:rsidR="005451D3" w:rsidSect="0054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728"/>
    <w:multiLevelType w:val="hybridMultilevel"/>
    <w:tmpl w:val="1270AF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4AE"/>
    <w:multiLevelType w:val="hybridMultilevel"/>
    <w:tmpl w:val="00284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258"/>
    <w:multiLevelType w:val="hybridMultilevel"/>
    <w:tmpl w:val="577CB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7594"/>
    <w:multiLevelType w:val="hybridMultilevel"/>
    <w:tmpl w:val="7E644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A2350"/>
    <w:multiLevelType w:val="hybridMultilevel"/>
    <w:tmpl w:val="F710B712"/>
    <w:lvl w:ilvl="0" w:tplc="2E609A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93BE9"/>
    <w:multiLevelType w:val="hybridMultilevel"/>
    <w:tmpl w:val="F8825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5EFC"/>
    <w:multiLevelType w:val="hybridMultilevel"/>
    <w:tmpl w:val="70804D42"/>
    <w:lvl w:ilvl="0" w:tplc="81647D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A81A4D"/>
    <w:multiLevelType w:val="hybridMultilevel"/>
    <w:tmpl w:val="4036D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16D6E"/>
    <w:multiLevelType w:val="hybridMultilevel"/>
    <w:tmpl w:val="D668E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F12D8"/>
    <w:multiLevelType w:val="hybridMultilevel"/>
    <w:tmpl w:val="24BC8FFC"/>
    <w:lvl w:ilvl="0" w:tplc="792C131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/>
  <w:rsids>
    <w:rsidRoot w:val="001E4A93"/>
    <w:rsid w:val="001D11EF"/>
    <w:rsid w:val="001E4A93"/>
    <w:rsid w:val="003B75BB"/>
    <w:rsid w:val="00400FD6"/>
    <w:rsid w:val="00475F86"/>
    <w:rsid w:val="004C7935"/>
    <w:rsid w:val="005451D3"/>
    <w:rsid w:val="0064265B"/>
    <w:rsid w:val="00650B82"/>
    <w:rsid w:val="006D39EE"/>
    <w:rsid w:val="00975C9F"/>
    <w:rsid w:val="009820BD"/>
    <w:rsid w:val="00A03687"/>
    <w:rsid w:val="00C173AD"/>
    <w:rsid w:val="00D12A13"/>
    <w:rsid w:val="00D35CBE"/>
    <w:rsid w:val="00F30C14"/>
    <w:rsid w:val="00FE2DB8"/>
    <w:rsid w:val="49DB1E8C"/>
    <w:rsid w:val="76D9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93"/>
  </w:style>
  <w:style w:type="paragraph" w:styleId="Titre1">
    <w:name w:val="heading 1"/>
    <w:basedOn w:val="Normal"/>
    <w:next w:val="Normal"/>
    <w:link w:val="Titre1Car"/>
    <w:uiPriority w:val="9"/>
    <w:qFormat/>
    <w:rsid w:val="003B7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5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1E4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E4A93"/>
    <w:rPr>
      <w:rFonts w:asciiTheme="majorHAnsi" w:eastAsiaTheme="majorEastAsia" w:hAnsiTheme="majorHAnsi" w:cstheme="majorBidi"/>
      <w:b/>
      <w:bCs/>
      <w:color w:val="4F81BD"/>
    </w:rPr>
  </w:style>
  <w:style w:type="table" w:styleId="Grilledutableau">
    <w:name w:val="Table Grid"/>
    <w:basedOn w:val="TableauNormal"/>
    <w:uiPriority w:val="59"/>
    <w:rsid w:val="001E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E4A9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4A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B75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3B75BB"/>
    <w:rPr>
      <w:rFonts w:eastAsiaTheme="minorEastAsia"/>
      <w:color w:val="5A5A5A" w:themeColor="text1" w:themeTint="A5"/>
      <w:spacing w:val="1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75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3B75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fp.revues.org/2785" TargetMode="External"/><Relationship Id="rId5" Type="http://schemas.openxmlformats.org/officeDocument/2006/relationships/hyperlink" Target="http://www.fayard.fr/bonheur-prive-action-publique-9782818503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3762</Characters>
  <Application>Microsoft Office Word</Application>
  <DocSecurity>0</DocSecurity>
  <Lines>31</Lines>
  <Paragraphs>8</Paragraphs>
  <ScaleCrop>false</ScaleCrop>
  <Company>Hewlett-Packard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nave-bek_c</dc:creator>
  <cp:lastModifiedBy>NAVE-BEKHTI</cp:lastModifiedBy>
  <cp:revision>5</cp:revision>
  <dcterms:created xsi:type="dcterms:W3CDTF">2015-06-07T19:20:00Z</dcterms:created>
  <dcterms:modified xsi:type="dcterms:W3CDTF">2015-07-01T18:31:00Z</dcterms:modified>
</cp:coreProperties>
</file>